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ind w:right="0"/>
        <w:jc w:val="center"/>
        <w:textAlignment w:val="auto"/>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eastAsia="zh-CN"/>
        </w:rPr>
        <w:t>贺兰县</w:t>
      </w:r>
      <w:r>
        <w:rPr>
          <w:rFonts w:hint="eastAsia" w:ascii="方正小标宋_GBK" w:hAnsi="方正小标宋_GBK" w:eastAsia="方正小标宋_GBK" w:cs="方正小标宋_GBK"/>
          <w:color w:val="000000"/>
          <w:sz w:val="44"/>
          <w:szCs w:val="44"/>
          <w:lang w:val="en-US" w:eastAsia="zh-CN"/>
        </w:rPr>
        <w:t>2020年农业农村污染防治工作</w:t>
      </w:r>
    </w:p>
    <w:p>
      <w:pPr>
        <w:widowControl w:val="0"/>
        <w:wordWrap/>
        <w:adjustRightInd/>
        <w:snapToGrid/>
        <w:spacing w:line="560" w:lineRule="exact"/>
        <w:ind w:right="0"/>
        <w:jc w:val="center"/>
        <w:textAlignment w:val="auto"/>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实施方案</w:t>
      </w:r>
    </w:p>
    <w:p>
      <w:pPr>
        <w:pStyle w:val="6"/>
        <w:widowControl w:val="0"/>
        <w:wordWrap/>
        <w:adjustRightInd/>
        <w:snapToGrid/>
        <w:spacing w:after="0" w:line="560" w:lineRule="exact"/>
        <w:ind w:right="0"/>
        <w:textAlignment w:val="auto"/>
        <w:rPr>
          <w:rFonts w:hint="eastAsia"/>
          <w:color w:val="000000"/>
          <w:lang w:val="en-US" w:eastAsia="zh-CN"/>
        </w:rPr>
      </w:pPr>
    </w:p>
    <w:p>
      <w:pPr>
        <w:widowControl w:val="0"/>
        <w:wordWrap/>
        <w:adjustRightInd/>
        <w:snapToGrid/>
        <w:spacing w:line="560" w:lineRule="exact"/>
        <w:ind w:right="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为深入贯彻落实习近平生态文明思想，加大农业农村污染防治力度，推进</w:t>
      </w:r>
      <w:r>
        <w:rPr>
          <w:rFonts w:hint="eastAsia" w:ascii="仿宋_GB2312" w:hAnsi="仿宋_GB2312" w:eastAsia="仿宋_GB2312" w:cs="仿宋_GB2312"/>
          <w:color w:val="000000"/>
          <w:sz w:val="32"/>
          <w:szCs w:val="32"/>
          <w:shd w:val="clear" w:color="auto" w:fill="auto"/>
          <w:lang w:val="en-US" w:eastAsia="zh-CN"/>
        </w:rPr>
        <w:t>《关于印发&lt;宁夏回族自治区农业农村污染治理攻坚战行动计划实施方案&gt;的通知》（宁环土壤发〔2019〕14号)、《关于印发&lt;银川市农业农村污染治理攻坚战实施方案&gt;的通知》（银土壤办发〔2019〕12号）文件要求的</w:t>
      </w:r>
      <w:r>
        <w:rPr>
          <w:rFonts w:hint="eastAsia" w:ascii="仿宋_GB2312" w:hAnsi="仿宋_GB2312" w:eastAsia="仿宋_GB2312" w:cs="仿宋_GB2312"/>
          <w:color w:val="000000"/>
          <w:sz w:val="32"/>
          <w:szCs w:val="32"/>
          <w:lang w:val="en-US" w:eastAsia="zh-CN"/>
        </w:rPr>
        <w:t>任务全面完成，打好农业农村污染防治攻坚战，切实推进农村人居环境改善，特制定本方案。</w:t>
      </w:r>
    </w:p>
    <w:p>
      <w:pPr>
        <w:widowControl w:val="0"/>
        <w:numPr>
          <w:ilvl w:val="0"/>
          <w:numId w:val="1"/>
        </w:numPr>
        <w:wordWrap/>
        <w:adjustRightInd/>
        <w:snapToGrid/>
        <w:spacing w:line="560" w:lineRule="exact"/>
        <w:ind w:right="0"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工作目标</w:t>
      </w:r>
    </w:p>
    <w:p>
      <w:pPr>
        <w:widowControl w:val="0"/>
        <w:numPr>
          <w:ilvl w:val="0"/>
          <w:numId w:val="0"/>
        </w:numPr>
        <w:wordWrap/>
        <w:adjustRightInd/>
        <w:snapToGrid/>
        <w:spacing w:line="560" w:lineRule="exact"/>
        <w:ind w:right="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到2020年，90%的村庄生活垃圾得到治理。村庄人居环境质量全面提升；全县农村生活污水处理覆盖面进一步扩大，集镇和城镇近郊较大规模的中心村基本实现污水集中处理；全县粮食作物测土配方施肥技术覆盖率达到90%，化肥、农药利用率达到40%，化肥、农药减量使用实现零增长；完成大型灌区、重点中型灌区续建配套和节水改造任务，全县灌溉水利用系数提高至0.55以上；农作物秸秆综合利用率达到85%以上，推进废旧农膜回收利用和农药包装废弃物回收处理，农膜回收率达到85%；畜禽养殖粪污综合利用率达到90%，所有规模养殖场粪污处理设施装备配套率达到95%；建立耕地土壤环境质量分类清单，实施耕地分类管理。</w:t>
      </w:r>
    </w:p>
    <w:p>
      <w:pPr>
        <w:widowControl w:val="0"/>
        <w:numPr>
          <w:ilvl w:val="0"/>
          <w:numId w:val="1"/>
        </w:numPr>
        <w:wordWrap/>
        <w:adjustRightInd/>
        <w:snapToGrid/>
        <w:spacing w:line="560" w:lineRule="exact"/>
        <w:ind w:right="0" w:firstLine="640" w:firstLineChars="200"/>
        <w:jc w:val="lef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具体任务</w:t>
      </w:r>
    </w:p>
    <w:p>
      <w:pPr>
        <w:widowControl w:val="0"/>
        <w:numPr>
          <w:ilvl w:val="0"/>
          <w:numId w:val="0"/>
        </w:numPr>
        <w:wordWrap/>
        <w:adjustRightInd/>
        <w:snapToGrid/>
        <w:spacing w:line="560" w:lineRule="exact"/>
        <w:ind w:right="0" w:firstLine="643" w:firstLineChars="200"/>
        <w:jc w:val="left"/>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（一）加强农村饮用水水源地保护。</w:t>
      </w:r>
    </w:p>
    <w:p>
      <w:pPr>
        <w:widowControl w:val="0"/>
        <w:numPr>
          <w:ilvl w:val="0"/>
          <w:numId w:val="0"/>
        </w:numPr>
        <w:wordWrap/>
        <w:adjustRightInd/>
        <w:snapToGrid/>
        <w:spacing w:line="560" w:lineRule="exact"/>
        <w:ind w:right="0"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1.2020年底前，各乡镇（场）要完成供水人口在10000人或日供水1000吨以上的饮用水水源调查评估和保护区划定工作。</w:t>
      </w:r>
      <w:r>
        <w:rPr>
          <w:rFonts w:hint="eastAsia" w:ascii="仿宋_GB2312" w:hAnsi="仿宋_GB2312" w:eastAsia="仿宋_GB2312" w:cs="仿宋_GB2312"/>
          <w:color w:val="000000"/>
          <w:sz w:val="32"/>
          <w:szCs w:val="32"/>
          <w:lang w:val="en-US" w:eastAsia="zh-CN"/>
        </w:rPr>
        <w:t>对未划定或划定不符合法律法规要求的，参照《饮用水水源保护区划分技术规范》（H338-2018），按法定程序予以划定或调整。参照《饮用水水源保护区标志技术要求》（HU/T433-2008），在饮用水水源保护区的边界设立明确的地理界标和明显的警示标志，加强饮用水水源标志及隔离设施的管理维护。将饮用水水源保护要求和村民应承担的保护责任纳入村规民约。</w:t>
      </w:r>
    </w:p>
    <w:p>
      <w:pPr>
        <w:widowControl w:val="0"/>
        <w:numPr>
          <w:ilvl w:val="0"/>
          <w:numId w:val="0"/>
        </w:numPr>
        <w:wordWrap/>
        <w:adjustRightInd/>
        <w:snapToGrid/>
        <w:spacing w:line="560" w:lineRule="exact"/>
        <w:ind w:right="0" w:firstLine="643"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牵头单位：</w:t>
      </w:r>
      <w:r>
        <w:rPr>
          <w:rFonts w:hint="eastAsia" w:ascii="仿宋_GB2312" w:hAnsi="仿宋_GB2312" w:eastAsia="仿宋_GB2312" w:cs="仿宋_GB2312"/>
          <w:color w:val="000000"/>
          <w:sz w:val="32"/>
          <w:szCs w:val="32"/>
          <w:lang w:val="en-US" w:eastAsia="zh-CN"/>
        </w:rPr>
        <w:t>银川市生态环境局贺兰分局</w:t>
      </w:r>
    </w:p>
    <w:p>
      <w:pPr>
        <w:widowControl w:val="0"/>
        <w:numPr>
          <w:ilvl w:val="0"/>
          <w:numId w:val="0"/>
        </w:numPr>
        <w:wordWrap/>
        <w:adjustRightInd/>
        <w:snapToGrid/>
        <w:spacing w:line="560" w:lineRule="exact"/>
        <w:ind w:right="0" w:firstLine="643"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配合单位：</w:t>
      </w:r>
      <w:r>
        <w:rPr>
          <w:rFonts w:hint="eastAsia" w:ascii="仿宋_GB2312" w:hAnsi="仿宋_GB2312" w:eastAsia="仿宋_GB2312" w:cs="仿宋_GB2312"/>
          <w:color w:val="000000"/>
          <w:sz w:val="32"/>
          <w:szCs w:val="32"/>
          <w:lang w:val="en-US" w:eastAsia="zh-CN"/>
        </w:rPr>
        <w:t>水务局、农业农村局、各乡镇（场）</w:t>
      </w:r>
    </w:p>
    <w:p>
      <w:pPr>
        <w:widowControl w:val="0"/>
        <w:numPr>
          <w:ilvl w:val="0"/>
          <w:numId w:val="0"/>
        </w:numPr>
        <w:wordWrap/>
        <w:adjustRightInd/>
        <w:snapToGrid/>
        <w:spacing w:line="560" w:lineRule="exact"/>
        <w:ind w:right="0" w:firstLine="643"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2.加强农村饮用水水质监测。</w:t>
      </w:r>
      <w:r>
        <w:rPr>
          <w:rFonts w:hint="eastAsia" w:ascii="仿宋_GB2312" w:hAnsi="仿宋_GB2312" w:eastAsia="仿宋_GB2312" w:cs="仿宋_GB2312"/>
          <w:color w:val="000000"/>
          <w:sz w:val="32"/>
          <w:szCs w:val="32"/>
          <w:lang w:val="en-US" w:eastAsia="zh-CN"/>
        </w:rPr>
        <w:t>卫健局协调各乡镇（场）组织做好农村集中式饮水供水单位供水、用户水龙头出水的水质评测工作，确保农村饮用水安全。实施从源头到水龙头的全过程的控制，落实水源保护、工程建设、水质监测检测“三同时”制度。供水人口在10000人或日供水1000吨以上的饮用水水源每季度监测一次。要按照国家相关标准，结合本地水质本底状况确定水源、供水、水龙头出水等监测项目并组织实施。</w:t>
      </w:r>
    </w:p>
    <w:p>
      <w:pPr>
        <w:widowControl w:val="0"/>
        <w:numPr>
          <w:ilvl w:val="0"/>
          <w:numId w:val="0"/>
        </w:numPr>
        <w:wordWrap/>
        <w:adjustRightInd/>
        <w:snapToGrid/>
        <w:spacing w:line="560" w:lineRule="exact"/>
        <w:ind w:left="2244" w:leftChars="304" w:right="0" w:hanging="1606" w:hangingChars="5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牵头单位：</w:t>
      </w:r>
      <w:r>
        <w:rPr>
          <w:rFonts w:hint="eastAsia" w:ascii="仿宋_GB2312" w:hAnsi="仿宋_GB2312" w:eastAsia="仿宋_GB2312" w:cs="仿宋_GB2312"/>
          <w:color w:val="000000"/>
          <w:spacing w:val="-20"/>
          <w:sz w:val="32"/>
          <w:szCs w:val="32"/>
          <w:lang w:val="en-US" w:eastAsia="zh-CN"/>
        </w:rPr>
        <w:t>水务局</w:t>
      </w:r>
    </w:p>
    <w:p>
      <w:pPr>
        <w:widowControl w:val="0"/>
        <w:numPr>
          <w:ilvl w:val="0"/>
          <w:numId w:val="0"/>
        </w:numPr>
        <w:wordWrap/>
        <w:adjustRightInd/>
        <w:snapToGrid/>
        <w:spacing w:line="560" w:lineRule="exact"/>
        <w:ind w:right="0" w:firstLine="643"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配合单位：</w:t>
      </w:r>
      <w:r>
        <w:rPr>
          <w:rFonts w:hint="eastAsia" w:ascii="仿宋_GB2312" w:hAnsi="仿宋_GB2312" w:eastAsia="仿宋_GB2312" w:cs="仿宋_GB2312"/>
          <w:b w:val="0"/>
          <w:bCs w:val="0"/>
          <w:color w:val="000000"/>
          <w:spacing w:val="-20"/>
          <w:sz w:val="32"/>
          <w:szCs w:val="32"/>
          <w:lang w:val="en-US" w:eastAsia="zh-CN"/>
        </w:rPr>
        <w:t>银川</w:t>
      </w:r>
      <w:r>
        <w:rPr>
          <w:rFonts w:hint="eastAsia" w:ascii="仿宋_GB2312" w:hAnsi="仿宋_GB2312" w:eastAsia="仿宋_GB2312" w:cs="仿宋_GB2312"/>
          <w:color w:val="000000"/>
          <w:spacing w:val="-20"/>
          <w:sz w:val="32"/>
          <w:szCs w:val="32"/>
          <w:lang w:val="en-US" w:eastAsia="zh-CN"/>
        </w:rPr>
        <w:t>市生态环境局贺兰分局、卫健局、</w:t>
      </w:r>
      <w:r>
        <w:rPr>
          <w:rFonts w:hint="eastAsia" w:ascii="仿宋_GB2312" w:hAnsi="仿宋_GB2312" w:eastAsia="仿宋_GB2312" w:cs="仿宋_GB2312"/>
          <w:color w:val="000000"/>
          <w:sz w:val="32"/>
          <w:szCs w:val="32"/>
          <w:lang w:val="en-US" w:eastAsia="zh-CN"/>
        </w:rPr>
        <w:t>各乡镇（场）</w:t>
      </w:r>
    </w:p>
    <w:p>
      <w:pPr>
        <w:widowControl w:val="0"/>
        <w:numPr>
          <w:ilvl w:val="0"/>
          <w:numId w:val="0"/>
        </w:numPr>
        <w:wordWrap/>
        <w:adjustRightInd/>
        <w:snapToGrid/>
        <w:spacing w:line="560" w:lineRule="exact"/>
        <w:ind w:right="0" w:firstLine="643"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3.开展农村饮用水水源环境风险排查整治。</w:t>
      </w:r>
      <w:r>
        <w:rPr>
          <w:rFonts w:hint="eastAsia" w:ascii="仿宋_GB2312" w:hAnsi="仿宋_GB2312" w:eastAsia="仿宋_GB2312" w:cs="仿宋_GB2312"/>
          <w:color w:val="000000"/>
          <w:sz w:val="32"/>
          <w:szCs w:val="32"/>
          <w:lang w:val="en-US" w:eastAsia="zh-CN"/>
        </w:rPr>
        <w:t>各乡镇（场）以农村供水人口在10000人或日供水1000吨以上的饮用水水源保护区为重点，对可能影响农村饮用水水源环境安全的化工、造纸、冶炼、制药等风险源和生活污水垃圾、畜禽养殖等风险源进行全面排查摸底，建立排查清单。对排查中发现的问题，由各乡镇（场）编制整治方案，全面进行清理整顿。结合水源地实际情况，实施饮用水源地环境综合整治工程，进一步做好饮用水水源地保护区监管工作。对保护区内的排污口坚决依法拆除或者关闭，严禁违法排污，确保饮用水安全。</w:t>
      </w:r>
    </w:p>
    <w:p>
      <w:pPr>
        <w:widowControl w:val="0"/>
        <w:numPr>
          <w:ilvl w:val="0"/>
          <w:numId w:val="0"/>
        </w:numPr>
        <w:wordWrap/>
        <w:adjustRightInd/>
        <w:snapToGrid/>
        <w:spacing w:line="560" w:lineRule="exact"/>
        <w:ind w:right="0" w:firstLine="643"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牵头单位：</w:t>
      </w:r>
      <w:r>
        <w:rPr>
          <w:rFonts w:hint="eastAsia" w:ascii="仿宋_GB2312" w:hAnsi="仿宋_GB2312" w:eastAsia="仿宋_GB2312" w:cs="仿宋_GB2312"/>
          <w:b w:val="0"/>
          <w:bCs w:val="0"/>
          <w:color w:val="000000"/>
          <w:sz w:val="32"/>
          <w:szCs w:val="32"/>
          <w:lang w:val="en-US" w:eastAsia="zh-CN"/>
        </w:rPr>
        <w:t>银川</w:t>
      </w:r>
      <w:r>
        <w:rPr>
          <w:rFonts w:hint="eastAsia" w:ascii="仿宋_GB2312" w:hAnsi="仿宋_GB2312" w:eastAsia="仿宋_GB2312" w:cs="仿宋_GB2312"/>
          <w:color w:val="000000"/>
          <w:sz w:val="32"/>
          <w:szCs w:val="32"/>
          <w:lang w:val="en-US" w:eastAsia="zh-CN"/>
        </w:rPr>
        <w:t>市生态环境局贺兰分局</w:t>
      </w:r>
    </w:p>
    <w:p>
      <w:pPr>
        <w:widowControl w:val="0"/>
        <w:numPr>
          <w:ilvl w:val="0"/>
          <w:numId w:val="0"/>
        </w:numPr>
        <w:wordWrap/>
        <w:adjustRightInd/>
        <w:snapToGrid/>
        <w:spacing w:line="560" w:lineRule="exact"/>
        <w:ind w:right="0" w:firstLine="643"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配合单位：</w:t>
      </w:r>
      <w:r>
        <w:rPr>
          <w:rFonts w:hint="eastAsia" w:ascii="仿宋_GB2312" w:hAnsi="仿宋_GB2312" w:eastAsia="仿宋_GB2312" w:cs="仿宋_GB2312"/>
          <w:color w:val="000000"/>
          <w:spacing w:val="-20"/>
          <w:sz w:val="32"/>
          <w:szCs w:val="32"/>
          <w:lang w:val="en-US" w:eastAsia="zh-CN"/>
        </w:rPr>
        <w:t>水务局、农业农村局、综合执法局、各乡镇（场）</w:t>
      </w:r>
    </w:p>
    <w:p>
      <w:pPr>
        <w:widowControl w:val="0"/>
        <w:numPr>
          <w:ilvl w:val="0"/>
          <w:numId w:val="0"/>
        </w:numPr>
        <w:wordWrap/>
        <w:adjustRightInd/>
        <w:snapToGrid/>
        <w:spacing w:line="560" w:lineRule="exact"/>
        <w:ind w:right="0" w:firstLine="643" w:firstLineChars="200"/>
        <w:jc w:val="left"/>
        <w:textAlignment w:val="auto"/>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（二）加快推进农村生活垃圾污水治理。</w:t>
      </w:r>
    </w:p>
    <w:p>
      <w:pPr>
        <w:widowControl w:val="0"/>
        <w:numPr>
          <w:ilvl w:val="0"/>
          <w:numId w:val="0"/>
        </w:numPr>
        <w:wordWrap/>
        <w:adjustRightInd/>
        <w:snapToGrid/>
        <w:spacing w:line="560" w:lineRule="exact"/>
        <w:ind w:right="0" w:firstLine="643"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4.加快推进农村生活垃圾治理。</w:t>
      </w:r>
      <w:r>
        <w:rPr>
          <w:rFonts w:hint="eastAsia" w:ascii="仿宋_GB2312" w:hAnsi="仿宋_GB2312" w:eastAsia="仿宋_GB2312" w:cs="仿宋_GB2312"/>
          <w:color w:val="000000"/>
          <w:sz w:val="32"/>
          <w:szCs w:val="32"/>
          <w:lang w:val="en-US" w:eastAsia="zh-CN"/>
        </w:rPr>
        <w:t>落实农村人居环境整治三年行动方案，坚持先保基本治理、后提高分类治理水平。各街道、乡镇（场）要指导村民掌握正确的垃圾分类投放方法，为村民统一印制图文并茂的垃圾分类投放手册，宣传参与垃圾分类改善农村环境的重要意义，培养村民绿色消费理念和绿色生活方式，做到“勤俭节约、物尽其用”，最大限度避免或减少生活垃圾产生。各乡镇（场）要按照“适度集中、连片治理、区域共享、经济适用”原则，在镇村体系规划基础上编制农村生活垃圾治理专项规划或实施方案，采取“户分类、村收集、乡转运（或处理）、县处理”的主体模式，配齐垃圾处理场所、中转站、收集点、垃圾箱、各式密闭转运车辆，建立环卫清扫保洁、垃圾转运处理、运营维护机构队伍和收运处置体系，组织开展农村生活垃圾分类减量化试点，推行垃圾就地分类和资源化利用。加强农村非正规垃圾堆放点排查整治，建立完善非正规垃圾堆放排查整治工作台账，实施整治全流程监管，严厉查处在农村地区随意倾倒、堆放垃圾行为，全面消除和防治产生新的非正规垃圾堆放点。2020年底前，生活垃圾得到治理的村庄达到95%，农村生活垃圾无害化处理率达到85%以上，积极创建农村生活垃圾分类和资源化利用示范县。</w:t>
      </w:r>
    </w:p>
    <w:p>
      <w:pPr>
        <w:widowControl w:val="0"/>
        <w:numPr>
          <w:ilvl w:val="0"/>
          <w:numId w:val="0"/>
        </w:numPr>
        <w:wordWrap/>
        <w:adjustRightInd/>
        <w:snapToGrid/>
        <w:spacing w:line="560" w:lineRule="exact"/>
        <w:ind w:right="0" w:firstLine="643"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牵头单位：</w:t>
      </w:r>
      <w:r>
        <w:rPr>
          <w:rFonts w:hint="eastAsia" w:ascii="仿宋_GB2312" w:hAnsi="仿宋_GB2312" w:eastAsia="仿宋_GB2312" w:cs="仿宋_GB2312"/>
          <w:color w:val="000000"/>
          <w:sz w:val="32"/>
          <w:szCs w:val="32"/>
          <w:lang w:val="en-US" w:eastAsia="zh-CN"/>
        </w:rPr>
        <w:t>综合执法局</w:t>
      </w:r>
    </w:p>
    <w:p>
      <w:pPr>
        <w:widowControl w:val="0"/>
        <w:numPr>
          <w:ilvl w:val="0"/>
          <w:numId w:val="0"/>
        </w:numPr>
        <w:wordWrap/>
        <w:adjustRightInd/>
        <w:snapToGrid/>
        <w:spacing w:line="560" w:lineRule="exact"/>
        <w:ind w:left="2249" w:leftChars="306" w:right="0" w:hanging="1606" w:hangingChars="5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配合单位：</w:t>
      </w:r>
      <w:r>
        <w:rPr>
          <w:rFonts w:hint="eastAsia" w:ascii="仿宋_GB2312" w:hAnsi="仿宋_GB2312" w:eastAsia="仿宋_GB2312" w:cs="仿宋_GB2312"/>
          <w:color w:val="000000"/>
          <w:spacing w:val="-11"/>
          <w:sz w:val="32"/>
          <w:szCs w:val="32"/>
          <w:lang w:val="en-US" w:eastAsia="zh-CN"/>
        </w:rPr>
        <w:t>财政局、银川市生态环境局贺兰分局、农业农村局</w:t>
      </w:r>
      <w:r>
        <w:rPr>
          <w:rFonts w:hint="eastAsia" w:ascii="仿宋_GB2312" w:hAnsi="仿宋_GB2312" w:eastAsia="仿宋_GB2312" w:cs="仿宋_GB2312"/>
          <w:color w:val="000000"/>
          <w:sz w:val="32"/>
          <w:szCs w:val="32"/>
          <w:lang w:val="en-US" w:eastAsia="zh-CN"/>
        </w:rPr>
        <w:t>、水务局、各乡镇（场）</w:t>
      </w:r>
    </w:p>
    <w:p>
      <w:pPr>
        <w:widowControl w:val="0"/>
        <w:numPr>
          <w:ilvl w:val="0"/>
          <w:numId w:val="0"/>
        </w:numPr>
        <w:wordWrap/>
        <w:adjustRightInd/>
        <w:snapToGrid/>
        <w:spacing w:line="560" w:lineRule="exact"/>
        <w:ind w:right="0" w:firstLine="643" w:firstLineChars="200"/>
        <w:jc w:val="left"/>
        <w:textAlignment w:val="auto"/>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color w:val="000000"/>
          <w:kern w:val="0"/>
          <w:sz w:val="32"/>
          <w:szCs w:val="32"/>
          <w:highlight w:val="none"/>
          <w:lang w:val="en-US" w:eastAsia="zh-CN"/>
        </w:rPr>
        <w:t>5.</w:t>
      </w:r>
      <w:r>
        <w:rPr>
          <w:rFonts w:hint="eastAsia" w:ascii="仿宋_GB2312" w:hAnsi="仿宋_GB2312" w:eastAsia="仿宋_GB2312" w:cs="仿宋_GB2312"/>
          <w:b/>
          <w:color w:val="000000"/>
          <w:kern w:val="0"/>
          <w:sz w:val="32"/>
          <w:szCs w:val="32"/>
          <w:highlight w:val="none"/>
        </w:rPr>
        <w:t>开展</w:t>
      </w:r>
      <w:r>
        <w:rPr>
          <w:rFonts w:ascii="仿宋_GB2312" w:hAnsi="仿宋_GB2312" w:eastAsia="仿宋_GB2312" w:cs="仿宋_GB2312"/>
          <w:b/>
          <w:color w:val="000000"/>
          <w:kern w:val="0"/>
          <w:sz w:val="32"/>
          <w:szCs w:val="32"/>
          <w:highlight w:val="none"/>
        </w:rPr>
        <w:t>农村生活污水排放状况调查，编制《</w:t>
      </w:r>
      <w:r>
        <w:rPr>
          <w:rFonts w:hint="eastAsia" w:ascii="仿宋_GB2312" w:hAnsi="仿宋_GB2312" w:eastAsia="仿宋_GB2312" w:cs="仿宋_GB2312"/>
          <w:b/>
          <w:color w:val="000000"/>
          <w:kern w:val="0"/>
          <w:sz w:val="32"/>
          <w:szCs w:val="32"/>
          <w:highlight w:val="none"/>
        </w:rPr>
        <w:t>县域</w:t>
      </w:r>
      <w:r>
        <w:rPr>
          <w:rFonts w:ascii="仿宋_GB2312" w:hAnsi="仿宋_GB2312" w:eastAsia="仿宋_GB2312" w:cs="仿宋_GB2312"/>
          <w:b/>
          <w:color w:val="000000"/>
          <w:kern w:val="0"/>
          <w:sz w:val="32"/>
          <w:szCs w:val="32"/>
          <w:highlight w:val="none"/>
        </w:rPr>
        <w:t>农村生活污水治理专项规划》</w:t>
      </w:r>
      <w:r>
        <w:rPr>
          <w:rFonts w:hint="eastAsia" w:ascii="仿宋_GB2312" w:hAnsi="仿宋_GB2312" w:eastAsia="仿宋_GB2312" w:cs="仿宋_GB2312"/>
          <w:b/>
          <w:color w:val="000000"/>
          <w:kern w:val="0"/>
          <w:sz w:val="32"/>
          <w:szCs w:val="32"/>
          <w:highlight w:val="none"/>
        </w:rPr>
        <w:t>编制</w:t>
      </w:r>
      <w:r>
        <w:rPr>
          <w:rFonts w:ascii="仿宋_GB2312" w:hAnsi="仿宋_GB2312" w:eastAsia="仿宋_GB2312" w:cs="仿宋_GB2312"/>
          <w:b/>
          <w:color w:val="000000"/>
          <w:kern w:val="0"/>
          <w:sz w:val="32"/>
          <w:szCs w:val="32"/>
          <w:highlight w:val="none"/>
        </w:rPr>
        <w:t>。</w:t>
      </w:r>
      <w:r>
        <w:rPr>
          <w:rFonts w:hint="eastAsia" w:ascii="仿宋_GB2312" w:hAnsi="仿宋_GB2312" w:eastAsia="仿宋_GB2312" w:cs="仿宋_GB2312"/>
          <w:b w:val="0"/>
          <w:bCs w:val="0"/>
          <w:color w:val="000000"/>
          <w:sz w:val="32"/>
          <w:szCs w:val="32"/>
          <w:lang w:val="en-US" w:eastAsia="zh-CN"/>
        </w:rPr>
        <w:t>各乡镇（场）</w:t>
      </w:r>
      <w:r>
        <w:rPr>
          <w:rFonts w:ascii="仿宋_GB2312" w:hAnsi="仿宋_GB2312" w:eastAsia="仿宋_GB2312" w:cs="仿宋_GB2312"/>
          <w:b w:val="0"/>
          <w:bCs w:val="0"/>
          <w:color w:val="000000"/>
          <w:sz w:val="32"/>
          <w:szCs w:val="32"/>
          <w:highlight w:val="none"/>
        </w:rPr>
        <w:t>组织</w:t>
      </w:r>
      <w:r>
        <w:rPr>
          <w:rFonts w:hint="eastAsia" w:ascii="仿宋_GB2312" w:hAnsi="仿宋_GB2312" w:eastAsia="仿宋_GB2312" w:cs="仿宋_GB2312"/>
          <w:b w:val="0"/>
          <w:bCs w:val="0"/>
          <w:color w:val="000000"/>
          <w:sz w:val="32"/>
          <w:szCs w:val="32"/>
          <w:highlight w:val="none"/>
        </w:rPr>
        <w:t>开展</w:t>
      </w:r>
      <w:r>
        <w:rPr>
          <w:rFonts w:ascii="仿宋_GB2312" w:hAnsi="仿宋_GB2312" w:eastAsia="仿宋_GB2312" w:cs="仿宋_GB2312"/>
          <w:b w:val="0"/>
          <w:bCs w:val="0"/>
          <w:color w:val="000000"/>
          <w:sz w:val="32"/>
          <w:szCs w:val="32"/>
          <w:highlight w:val="none"/>
        </w:rPr>
        <w:t>农村生活污水排放状况调查</w:t>
      </w:r>
      <w:r>
        <w:rPr>
          <w:rFonts w:hint="eastAsia" w:ascii="仿宋_GB2312" w:hAnsi="仿宋_GB2312" w:eastAsia="仿宋_GB2312" w:cs="仿宋_GB2312"/>
          <w:b w:val="0"/>
          <w:bCs w:val="0"/>
          <w:color w:val="000000"/>
          <w:sz w:val="32"/>
          <w:szCs w:val="32"/>
          <w:highlight w:val="none"/>
        </w:rPr>
        <w:t>，</w:t>
      </w:r>
      <w:r>
        <w:rPr>
          <w:rFonts w:ascii="仿宋_GB2312" w:hAnsi="仿宋_GB2312" w:eastAsia="仿宋_GB2312" w:cs="仿宋_GB2312"/>
          <w:b w:val="0"/>
          <w:bCs w:val="0"/>
          <w:color w:val="000000"/>
          <w:sz w:val="32"/>
          <w:szCs w:val="32"/>
          <w:highlight w:val="none"/>
        </w:rPr>
        <w:t>建立</w:t>
      </w:r>
      <w:r>
        <w:rPr>
          <w:rFonts w:hint="eastAsia" w:ascii="仿宋_GB2312" w:hAnsi="仿宋_GB2312" w:eastAsia="仿宋_GB2312" w:cs="仿宋_GB2312"/>
          <w:b w:val="0"/>
          <w:bCs w:val="0"/>
          <w:color w:val="000000"/>
          <w:sz w:val="32"/>
          <w:szCs w:val="32"/>
          <w:highlight w:val="none"/>
        </w:rPr>
        <w:t>农村</w:t>
      </w:r>
      <w:r>
        <w:rPr>
          <w:rFonts w:ascii="仿宋_GB2312" w:hAnsi="仿宋_GB2312" w:eastAsia="仿宋_GB2312" w:cs="仿宋_GB2312"/>
          <w:b w:val="0"/>
          <w:bCs w:val="0"/>
          <w:color w:val="000000"/>
          <w:sz w:val="32"/>
          <w:szCs w:val="32"/>
          <w:highlight w:val="none"/>
        </w:rPr>
        <w:t>生活污水排放基础台账，</w:t>
      </w:r>
      <w:r>
        <w:rPr>
          <w:rFonts w:hint="eastAsia" w:ascii="仿宋_GB2312" w:hAnsi="仿宋_GB2312" w:eastAsia="仿宋_GB2312" w:cs="仿宋_GB2312"/>
          <w:b w:val="0"/>
          <w:bCs w:val="0"/>
          <w:color w:val="000000"/>
          <w:sz w:val="32"/>
          <w:szCs w:val="32"/>
          <w:highlight w:val="none"/>
        </w:rPr>
        <w:t>为</w:t>
      </w:r>
      <w:r>
        <w:rPr>
          <w:rFonts w:ascii="仿宋_GB2312" w:hAnsi="仿宋_GB2312" w:eastAsia="仿宋_GB2312" w:cs="仿宋_GB2312"/>
          <w:b w:val="0"/>
          <w:bCs w:val="0"/>
          <w:color w:val="000000"/>
          <w:sz w:val="32"/>
          <w:szCs w:val="32"/>
          <w:highlight w:val="none"/>
        </w:rPr>
        <w:t>科学编制农村生活污水治理专项规划</w:t>
      </w:r>
      <w:r>
        <w:rPr>
          <w:rFonts w:hint="eastAsia" w:ascii="仿宋_GB2312" w:hAnsi="仿宋_GB2312" w:eastAsia="仿宋_GB2312" w:cs="仿宋_GB2312"/>
          <w:b w:val="0"/>
          <w:bCs w:val="0"/>
          <w:color w:val="000000"/>
          <w:sz w:val="32"/>
          <w:szCs w:val="32"/>
          <w:highlight w:val="none"/>
        </w:rPr>
        <w:t>奠定基础。2</w:t>
      </w:r>
      <w:r>
        <w:rPr>
          <w:rFonts w:ascii="仿宋_GB2312" w:hAnsi="仿宋_GB2312" w:eastAsia="仿宋_GB2312" w:cs="仿宋_GB2312"/>
          <w:b w:val="0"/>
          <w:bCs w:val="0"/>
          <w:color w:val="000000"/>
          <w:sz w:val="32"/>
          <w:szCs w:val="32"/>
          <w:highlight w:val="none"/>
        </w:rPr>
        <w:t>020</w:t>
      </w:r>
      <w:r>
        <w:rPr>
          <w:rFonts w:hint="eastAsia" w:ascii="仿宋_GB2312" w:hAnsi="仿宋_GB2312" w:eastAsia="仿宋_GB2312" w:cs="仿宋_GB2312"/>
          <w:b w:val="0"/>
          <w:bCs w:val="0"/>
          <w:color w:val="000000"/>
          <w:sz w:val="32"/>
          <w:szCs w:val="32"/>
          <w:highlight w:val="none"/>
        </w:rPr>
        <w:t>年6月底</w:t>
      </w:r>
      <w:r>
        <w:rPr>
          <w:rFonts w:ascii="仿宋_GB2312" w:hAnsi="仿宋_GB2312" w:eastAsia="仿宋_GB2312" w:cs="仿宋_GB2312"/>
          <w:b w:val="0"/>
          <w:bCs w:val="0"/>
          <w:color w:val="000000"/>
          <w:sz w:val="32"/>
          <w:szCs w:val="32"/>
          <w:highlight w:val="none"/>
        </w:rPr>
        <w:t>前，</w:t>
      </w:r>
      <w:r>
        <w:rPr>
          <w:rFonts w:hint="eastAsia" w:ascii="仿宋_GB2312" w:hAnsi="仿宋_GB2312" w:eastAsia="仿宋_GB2312" w:cs="仿宋_GB2312"/>
          <w:b w:val="0"/>
          <w:bCs w:val="0"/>
          <w:color w:val="000000"/>
          <w:sz w:val="32"/>
          <w:szCs w:val="32"/>
          <w:highlight w:val="none"/>
        </w:rPr>
        <w:t>完成规划编制</w:t>
      </w:r>
      <w:r>
        <w:rPr>
          <w:rFonts w:hint="eastAsia" w:ascii="仿宋_GB2312" w:hAnsi="仿宋_GB2312" w:eastAsia="仿宋_GB2312" w:cs="仿宋_GB2312"/>
          <w:b w:val="0"/>
          <w:bCs w:val="0"/>
          <w:color w:val="000000"/>
          <w:sz w:val="32"/>
          <w:szCs w:val="32"/>
          <w:highlight w:val="none"/>
          <w:lang w:eastAsia="zh-CN"/>
        </w:rPr>
        <w:t>。</w:t>
      </w:r>
    </w:p>
    <w:p>
      <w:pPr>
        <w:widowControl w:val="0"/>
        <w:numPr>
          <w:ilvl w:val="0"/>
          <w:numId w:val="0"/>
        </w:numPr>
        <w:wordWrap/>
        <w:adjustRightInd/>
        <w:snapToGrid/>
        <w:spacing w:line="560" w:lineRule="exact"/>
        <w:ind w:right="0"/>
        <w:textAlignment w:val="auto"/>
        <w:rPr>
          <w:rFonts w:hint="eastAsia" w:ascii="仿宋_GB2312" w:hAnsi="宋体" w:eastAsia="仿宋_GB2312" w:cs="方正仿宋_GBK"/>
          <w:b w:val="0"/>
          <w:bCs w:val="0"/>
          <w:color w:val="000000"/>
          <w:sz w:val="32"/>
          <w:szCs w:val="32"/>
          <w:highlight w:val="none"/>
          <w:lang w:val="en-US" w:eastAsia="zh-CN"/>
        </w:rPr>
      </w:pPr>
      <w:r>
        <w:rPr>
          <w:rFonts w:hint="eastAsia" w:ascii="仿宋_GB2312" w:hAnsi="宋体" w:eastAsia="仿宋_GB2312" w:cs="方正仿宋_GBK"/>
          <w:b/>
          <w:bCs/>
          <w:color w:val="000000"/>
          <w:sz w:val="32"/>
          <w:szCs w:val="32"/>
          <w:highlight w:val="none"/>
          <w:lang w:val="en-US" w:eastAsia="zh-CN"/>
        </w:rPr>
        <w:t xml:space="preserve">    牵头单位：</w:t>
      </w:r>
      <w:r>
        <w:rPr>
          <w:rFonts w:hint="eastAsia" w:ascii="仿宋_GB2312" w:hAnsi="宋体" w:eastAsia="仿宋_GB2312" w:cs="方正仿宋_GBK"/>
          <w:b w:val="0"/>
          <w:bCs w:val="0"/>
          <w:color w:val="000000"/>
          <w:sz w:val="32"/>
          <w:szCs w:val="32"/>
          <w:highlight w:val="none"/>
          <w:lang w:val="en-US" w:eastAsia="zh-CN"/>
        </w:rPr>
        <w:t>银川市生态环境局贺兰分局</w:t>
      </w:r>
    </w:p>
    <w:p>
      <w:pPr>
        <w:widowControl w:val="0"/>
        <w:numPr>
          <w:ilvl w:val="0"/>
          <w:numId w:val="0"/>
        </w:numPr>
        <w:wordWrap/>
        <w:adjustRightInd/>
        <w:snapToGrid/>
        <w:spacing w:line="560" w:lineRule="exact"/>
        <w:ind w:right="0" w:firstLine="642"/>
        <w:textAlignment w:val="auto"/>
        <w:rPr>
          <w:rFonts w:hint="eastAsia" w:ascii="仿宋_GB2312" w:hAnsi="宋体" w:eastAsia="仿宋_GB2312" w:cs="方正仿宋_GBK"/>
          <w:color w:val="000000"/>
          <w:sz w:val="32"/>
          <w:szCs w:val="32"/>
          <w:highlight w:val="none"/>
          <w:lang w:val="en-US" w:eastAsia="zh-CN"/>
        </w:rPr>
      </w:pPr>
      <w:r>
        <w:rPr>
          <w:rFonts w:hint="eastAsia" w:ascii="仿宋_GB2312" w:hAnsi="宋体" w:eastAsia="仿宋_GB2312" w:cs="方正仿宋_GBK"/>
          <w:b/>
          <w:bCs/>
          <w:color w:val="000000"/>
          <w:sz w:val="32"/>
          <w:szCs w:val="32"/>
          <w:highlight w:val="none"/>
          <w:lang w:val="zh-CN" w:eastAsia="zh-CN"/>
        </w:rPr>
        <w:t>配合单位：</w:t>
      </w:r>
      <w:r>
        <w:rPr>
          <w:rFonts w:hint="eastAsia" w:ascii="仿宋_GB2312" w:hAnsi="宋体" w:eastAsia="仿宋_GB2312" w:cs="方正仿宋_GBK"/>
          <w:color w:val="000000"/>
          <w:spacing w:val="-20"/>
          <w:sz w:val="32"/>
          <w:szCs w:val="32"/>
          <w:highlight w:val="none"/>
          <w:lang w:val="zh-CN" w:eastAsia="zh-CN"/>
        </w:rPr>
        <w:t>自然资源局、农业农村</w:t>
      </w:r>
      <w:r>
        <w:rPr>
          <w:rFonts w:hint="eastAsia" w:ascii="仿宋_GB2312" w:hAnsi="宋体" w:eastAsia="仿宋_GB2312" w:cs="方正仿宋_GBK"/>
          <w:color w:val="000000"/>
          <w:spacing w:val="-20"/>
          <w:sz w:val="32"/>
          <w:szCs w:val="32"/>
          <w:highlight w:val="none"/>
          <w:lang w:val="en-US" w:eastAsia="zh-CN"/>
        </w:rPr>
        <w:t>局、水务局、</w:t>
      </w:r>
      <w:r>
        <w:rPr>
          <w:rFonts w:hint="eastAsia" w:ascii="仿宋_GB2312" w:hAnsi="仿宋_GB2312" w:eastAsia="仿宋_GB2312" w:cs="仿宋_GB2312"/>
          <w:color w:val="000000"/>
          <w:spacing w:val="-20"/>
          <w:sz w:val="32"/>
          <w:szCs w:val="32"/>
          <w:lang w:val="en-US" w:eastAsia="zh-CN"/>
        </w:rPr>
        <w:t>各乡镇（场）</w:t>
      </w:r>
    </w:p>
    <w:p>
      <w:pPr>
        <w:widowControl w:val="0"/>
        <w:numPr>
          <w:ilvl w:val="0"/>
          <w:numId w:val="0"/>
        </w:numPr>
        <w:wordWrap/>
        <w:adjustRightInd/>
        <w:snapToGrid/>
        <w:spacing w:line="560" w:lineRule="exact"/>
        <w:ind w:right="0"/>
        <w:jc w:val="left"/>
        <w:textAlignment w:val="auto"/>
        <w:rPr>
          <w:rFonts w:hint="eastAsia" w:ascii="仿宋_GB2312" w:hAnsi="宋体" w:eastAsia="仿宋_GB2312" w:cs="方正仿宋_GBK"/>
          <w:color w:val="000000"/>
          <w:sz w:val="32"/>
          <w:szCs w:val="32"/>
          <w:lang w:val="zh-CN" w:eastAsia="zh-CN"/>
        </w:rPr>
      </w:pPr>
      <w:r>
        <w:rPr>
          <w:rFonts w:hint="eastAsia" w:ascii="仿宋_GB2312" w:hAnsi="宋体" w:eastAsia="仿宋_GB2312" w:cs="方正仿宋_GBK"/>
          <w:b/>
          <w:bCs/>
          <w:color w:val="000000"/>
          <w:sz w:val="32"/>
          <w:szCs w:val="32"/>
          <w:lang w:val="en-US" w:eastAsia="zh-CN"/>
        </w:rPr>
        <w:t xml:space="preserve">    6.稳步</w:t>
      </w:r>
      <w:r>
        <w:rPr>
          <w:rFonts w:hint="eastAsia" w:ascii="仿宋_GB2312" w:hAnsi="宋体" w:eastAsia="仿宋_GB2312" w:cs="方正仿宋_GBK"/>
          <w:b/>
          <w:bCs/>
          <w:color w:val="000000"/>
          <w:sz w:val="32"/>
          <w:szCs w:val="32"/>
          <w:lang w:val="zh-CN" w:eastAsia="zh-CN"/>
        </w:rPr>
        <w:t>推进农村生活污水治理。</w:t>
      </w:r>
      <w:r>
        <w:rPr>
          <w:rFonts w:hint="eastAsia" w:ascii="仿宋_GB2312" w:hAnsi="宋体" w:eastAsia="仿宋_GB2312" w:cs="方正仿宋_GBK"/>
          <w:color w:val="000000"/>
          <w:sz w:val="32"/>
          <w:szCs w:val="32"/>
          <w:lang w:val="zh-CN" w:eastAsia="zh-CN"/>
        </w:rPr>
        <w:t>认真做好农村生活污水治理与农村改厕的衔接，完成2019年、</w:t>
      </w:r>
      <w:r>
        <w:rPr>
          <w:rFonts w:hint="eastAsia" w:ascii="仿宋_GB2312" w:hAnsi="宋体" w:eastAsia="仿宋_GB2312" w:cs="方正仿宋_GBK"/>
          <w:color w:val="000000"/>
          <w:sz w:val="32"/>
          <w:szCs w:val="32"/>
          <w:lang w:val="en-US" w:eastAsia="zh-CN"/>
        </w:rPr>
        <w:t>2020年</w:t>
      </w:r>
      <w:r>
        <w:rPr>
          <w:rFonts w:hint="eastAsia" w:ascii="仿宋_GB2312" w:hAnsi="宋体" w:eastAsia="仿宋_GB2312" w:cs="方正仿宋_GBK"/>
          <w:color w:val="000000"/>
          <w:sz w:val="32"/>
          <w:szCs w:val="32"/>
          <w:lang w:val="zh-CN" w:eastAsia="zh-CN"/>
        </w:rPr>
        <w:t>列入计划的农村生活污水治理建设工程，已建成投入运行的设施要及时组织验收审计、移交运行，确保设施建一个、成一个、运行一个、见效一个。农村污水处理覆盖面进一步扩大，集镇规划区和城镇近郊村基本实现污水集中处理，农村生活污水乱排乱放得到管控。</w:t>
      </w:r>
    </w:p>
    <w:p>
      <w:pPr>
        <w:widowControl w:val="0"/>
        <w:numPr>
          <w:ilvl w:val="0"/>
          <w:numId w:val="0"/>
        </w:numPr>
        <w:wordWrap/>
        <w:adjustRightInd/>
        <w:snapToGrid/>
        <w:spacing w:line="560" w:lineRule="exact"/>
        <w:ind w:right="0"/>
        <w:textAlignment w:val="auto"/>
        <w:rPr>
          <w:rFonts w:hint="eastAsia" w:ascii="仿宋_GB2312" w:hAnsi="宋体" w:eastAsia="仿宋_GB2312" w:cs="方正仿宋_GBK"/>
          <w:color w:val="000000"/>
          <w:sz w:val="32"/>
          <w:szCs w:val="32"/>
          <w:lang w:val="en-US" w:eastAsia="zh-CN"/>
        </w:rPr>
      </w:pPr>
      <w:r>
        <w:rPr>
          <w:rFonts w:hint="eastAsia" w:ascii="仿宋_GB2312" w:hAnsi="宋体" w:eastAsia="仿宋_GB2312" w:cs="方正仿宋_GBK"/>
          <w:b/>
          <w:bCs/>
          <w:color w:val="000000"/>
          <w:sz w:val="32"/>
          <w:szCs w:val="32"/>
          <w:lang w:val="en-US" w:eastAsia="zh-CN"/>
        </w:rPr>
        <w:t xml:space="preserve">    牵头单位：</w:t>
      </w:r>
      <w:r>
        <w:rPr>
          <w:rFonts w:hint="eastAsia" w:ascii="仿宋_GB2312" w:hAnsi="宋体" w:eastAsia="仿宋_GB2312" w:cs="方正仿宋_GBK"/>
          <w:b w:val="0"/>
          <w:bCs w:val="0"/>
          <w:color w:val="000000"/>
          <w:sz w:val="32"/>
          <w:szCs w:val="32"/>
          <w:lang w:val="en-US" w:eastAsia="zh-CN"/>
        </w:rPr>
        <w:t>银川市</w:t>
      </w:r>
      <w:r>
        <w:rPr>
          <w:rFonts w:hint="eastAsia" w:ascii="仿宋_GB2312" w:hAnsi="宋体" w:eastAsia="仿宋_GB2312" w:cs="方正仿宋_GBK"/>
          <w:color w:val="000000"/>
          <w:sz w:val="32"/>
          <w:szCs w:val="32"/>
          <w:lang w:val="en-US" w:eastAsia="zh-CN"/>
        </w:rPr>
        <w:t>生态环境局贺兰分局</w:t>
      </w:r>
    </w:p>
    <w:p>
      <w:pPr>
        <w:widowControl w:val="0"/>
        <w:wordWrap/>
        <w:adjustRightInd/>
        <w:snapToGrid/>
        <w:spacing w:line="560" w:lineRule="exact"/>
        <w:ind w:right="0" w:firstLine="640"/>
        <w:textAlignment w:val="auto"/>
        <w:rPr>
          <w:rFonts w:hint="eastAsia" w:ascii="仿宋_GB2312" w:hAnsi="宋体" w:eastAsia="仿宋_GB2312" w:cs="方正仿宋_GBK"/>
          <w:color w:val="000000"/>
          <w:sz w:val="32"/>
          <w:szCs w:val="32"/>
          <w:lang w:val="en-US" w:eastAsia="zh-CN"/>
        </w:rPr>
      </w:pPr>
      <w:r>
        <w:rPr>
          <w:rFonts w:hint="eastAsia" w:ascii="仿宋_GB2312" w:hAnsi="宋体" w:eastAsia="仿宋_GB2312" w:cs="方正仿宋_GBK"/>
          <w:b/>
          <w:bCs/>
          <w:color w:val="000000"/>
          <w:sz w:val="32"/>
          <w:szCs w:val="32"/>
          <w:lang w:val="en-US" w:eastAsia="zh-CN"/>
        </w:rPr>
        <w:t>配合单位：</w:t>
      </w:r>
      <w:r>
        <w:rPr>
          <w:rFonts w:hint="eastAsia" w:ascii="仿宋_GB2312" w:hAnsi="宋体" w:eastAsia="仿宋_GB2312" w:cs="方正仿宋_GBK"/>
          <w:color w:val="000000"/>
          <w:sz w:val="32"/>
          <w:szCs w:val="32"/>
          <w:lang w:val="zh-CN" w:eastAsia="zh-CN"/>
        </w:rPr>
        <w:t>农业农村</w:t>
      </w:r>
      <w:r>
        <w:rPr>
          <w:rFonts w:hint="eastAsia" w:ascii="仿宋_GB2312" w:hAnsi="宋体" w:eastAsia="仿宋_GB2312" w:cs="方正仿宋_GBK"/>
          <w:color w:val="000000"/>
          <w:sz w:val="32"/>
          <w:szCs w:val="32"/>
          <w:lang w:val="en-US" w:eastAsia="zh-CN"/>
        </w:rPr>
        <w:t>局</w:t>
      </w:r>
      <w:r>
        <w:rPr>
          <w:rFonts w:hint="eastAsia" w:ascii="仿宋_GB2312" w:hAnsi="宋体" w:eastAsia="仿宋_GB2312" w:cs="方正仿宋_GBK"/>
          <w:color w:val="000000"/>
          <w:sz w:val="32"/>
          <w:szCs w:val="32"/>
          <w:lang w:val="zh-CN" w:eastAsia="zh-CN"/>
        </w:rPr>
        <w:t>、综合执法局</w:t>
      </w:r>
      <w:r>
        <w:rPr>
          <w:rFonts w:hint="eastAsia" w:ascii="仿宋_GB2312" w:hAnsi="宋体" w:eastAsia="仿宋_GB2312" w:cs="方正仿宋_GBK"/>
          <w:color w:val="000000"/>
          <w:sz w:val="32"/>
          <w:szCs w:val="32"/>
          <w:lang w:val="en-US" w:eastAsia="zh-CN"/>
        </w:rPr>
        <w:t>、水务局</w:t>
      </w:r>
    </w:p>
    <w:p>
      <w:pPr>
        <w:widowControl w:val="0"/>
        <w:wordWrap/>
        <w:adjustRightInd/>
        <w:snapToGrid/>
        <w:spacing w:line="560" w:lineRule="exact"/>
        <w:ind w:right="0" w:firstLine="640"/>
        <w:textAlignment w:val="auto"/>
        <w:rPr>
          <w:rFonts w:hint="eastAsia" w:ascii="仿宋_GB2312" w:hAnsi="宋体" w:eastAsia="仿宋_GB2312" w:cs="方正仿宋_GBK"/>
          <w:color w:val="000000"/>
          <w:sz w:val="32"/>
          <w:szCs w:val="32"/>
          <w:shd w:val="clear" w:color="auto" w:fill="auto"/>
          <w:lang w:val="zh-CN" w:eastAsia="zh-CN"/>
        </w:rPr>
      </w:pPr>
      <w:r>
        <w:rPr>
          <w:rFonts w:hint="eastAsia" w:ascii="仿宋_GB2312" w:hAnsi="宋体" w:eastAsia="仿宋_GB2312" w:cs="方正仿宋_GBK"/>
          <w:b/>
          <w:bCs/>
          <w:color w:val="000000"/>
          <w:sz w:val="32"/>
          <w:szCs w:val="32"/>
          <w:shd w:val="clear" w:color="auto" w:fill="auto"/>
          <w:lang w:val="en-US" w:eastAsia="zh-CN"/>
        </w:rPr>
        <w:t>落实单位：</w:t>
      </w:r>
      <w:r>
        <w:rPr>
          <w:rFonts w:hint="eastAsia" w:ascii="仿宋_GB2312" w:hAnsi="仿宋_GB2312" w:eastAsia="仿宋_GB2312" w:cs="仿宋_GB2312"/>
          <w:color w:val="000000"/>
          <w:sz w:val="32"/>
          <w:szCs w:val="32"/>
          <w:shd w:val="clear" w:color="auto" w:fill="auto"/>
          <w:lang w:val="en-US" w:eastAsia="zh-CN"/>
        </w:rPr>
        <w:t>各乡镇（场）</w:t>
      </w:r>
    </w:p>
    <w:p>
      <w:pPr>
        <w:widowControl w:val="0"/>
        <w:wordWrap/>
        <w:adjustRightInd/>
        <w:snapToGrid/>
        <w:spacing w:line="560" w:lineRule="exact"/>
        <w:ind w:right="0" w:firstLine="642"/>
        <w:textAlignment w:val="auto"/>
        <w:rPr>
          <w:rFonts w:hint="eastAsia" w:ascii="仿宋_GB2312" w:hAnsi="宋体" w:eastAsia="仿宋_GB2312" w:cs="方正仿宋_GBK"/>
          <w:b/>
          <w:bCs/>
          <w:color w:val="000000"/>
          <w:sz w:val="32"/>
          <w:szCs w:val="32"/>
          <w:lang w:val="zh-CN" w:eastAsia="zh-CN"/>
        </w:rPr>
      </w:pPr>
      <w:r>
        <w:rPr>
          <w:rFonts w:hint="eastAsia" w:ascii="仿宋_GB2312" w:hAnsi="宋体" w:eastAsia="仿宋_GB2312" w:cs="方正仿宋_GBK"/>
          <w:b/>
          <w:bCs/>
          <w:color w:val="000000"/>
          <w:sz w:val="32"/>
          <w:szCs w:val="32"/>
          <w:lang w:val="en-US" w:eastAsia="zh-CN"/>
        </w:rPr>
        <w:t>7.</w:t>
      </w:r>
      <w:r>
        <w:rPr>
          <w:rFonts w:hint="eastAsia" w:ascii="仿宋_GB2312" w:hAnsi="宋体" w:eastAsia="仿宋_GB2312" w:cs="方正仿宋_GBK"/>
          <w:b/>
          <w:bCs/>
          <w:color w:val="000000"/>
          <w:sz w:val="32"/>
          <w:szCs w:val="32"/>
          <w:lang w:val="zh-CN" w:eastAsia="zh-CN"/>
        </w:rPr>
        <w:t>建立和完善农村污染治理设施长效运行机制。</w:t>
      </w:r>
      <w:r>
        <w:rPr>
          <w:rFonts w:hint="eastAsia" w:ascii="仿宋_GB2312" w:hAnsi="宋体" w:eastAsia="仿宋_GB2312" w:cs="方正仿宋_GBK"/>
          <w:b w:val="0"/>
          <w:bCs w:val="0"/>
          <w:color w:val="000000"/>
          <w:sz w:val="32"/>
          <w:szCs w:val="32"/>
          <w:lang w:val="zh-CN" w:eastAsia="zh-CN"/>
        </w:rPr>
        <w:t>农村污染治理设施长效运行，</w:t>
      </w:r>
      <w:r>
        <w:rPr>
          <w:rFonts w:hint="eastAsia" w:ascii="仿宋_GB2312" w:hAnsi="宋体" w:eastAsia="仿宋_GB2312" w:cs="方正仿宋_GBK"/>
          <w:color w:val="000000"/>
          <w:sz w:val="32"/>
          <w:szCs w:val="32"/>
          <w:lang w:val="zh-CN" w:eastAsia="zh-CN"/>
        </w:rPr>
        <w:t>制定管理办法，明确设施管理主体，建立资金保障机制，加强管护队伍建设，建立监督管理机制，保障已建成的农村生活垃圾污水处理设施正常运行。开展经常性的排查，对设施不能正常运行的，提出限期整改要求，逾期未整改到位的，要通报批评或约谈相关负责人。对新建污染治理设施，建设及运行维护资金没有保障的，不得安排资金和项目。</w:t>
      </w:r>
    </w:p>
    <w:p>
      <w:pPr>
        <w:widowControl w:val="0"/>
        <w:wordWrap/>
        <w:adjustRightInd/>
        <w:snapToGrid/>
        <w:spacing w:line="560" w:lineRule="exact"/>
        <w:ind w:left="2244" w:leftChars="304" w:right="0" w:hanging="1606" w:hangingChars="500"/>
        <w:textAlignment w:val="auto"/>
        <w:rPr>
          <w:rFonts w:hint="eastAsia" w:ascii="仿宋_GB2312" w:hAnsi="宋体" w:eastAsia="仿宋_GB2312" w:cs="方正仿宋_GBK"/>
          <w:color w:val="000000"/>
          <w:sz w:val="32"/>
          <w:szCs w:val="32"/>
          <w:lang w:val="en-US" w:eastAsia="zh-CN"/>
        </w:rPr>
      </w:pPr>
      <w:r>
        <w:rPr>
          <w:rFonts w:hint="eastAsia" w:ascii="仿宋_GB2312" w:hAnsi="宋体" w:eastAsia="仿宋_GB2312" w:cs="方正仿宋_GBK"/>
          <w:b/>
          <w:bCs/>
          <w:color w:val="000000"/>
          <w:sz w:val="32"/>
          <w:szCs w:val="32"/>
          <w:lang w:val="zh-CN" w:eastAsia="zh-CN"/>
        </w:rPr>
        <w:t>牵头单位：</w:t>
      </w:r>
      <w:r>
        <w:rPr>
          <w:rFonts w:hint="eastAsia" w:ascii="仿宋_GB2312" w:hAnsi="宋体" w:eastAsia="仿宋_GB2312" w:cs="方正仿宋_GBK"/>
          <w:color w:val="000000"/>
          <w:sz w:val="32"/>
          <w:szCs w:val="32"/>
          <w:lang w:val="zh-CN" w:eastAsia="zh-CN"/>
        </w:rPr>
        <w:t>农业农村</w:t>
      </w:r>
      <w:r>
        <w:rPr>
          <w:rFonts w:hint="eastAsia" w:ascii="仿宋_GB2312" w:hAnsi="宋体" w:eastAsia="仿宋_GB2312" w:cs="方正仿宋_GBK"/>
          <w:color w:val="000000"/>
          <w:sz w:val="32"/>
          <w:szCs w:val="32"/>
          <w:lang w:val="en-US" w:eastAsia="zh-CN"/>
        </w:rPr>
        <w:t>局</w:t>
      </w:r>
      <w:r>
        <w:rPr>
          <w:rFonts w:hint="eastAsia" w:ascii="仿宋_GB2312" w:hAnsi="宋体" w:eastAsia="仿宋_GB2312" w:cs="方正仿宋_GBK"/>
          <w:color w:val="000000"/>
          <w:sz w:val="32"/>
          <w:szCs w:val="32"/>
          <w:lang w:val="zh-CN" w:eastAsia="zh-CN"/>
        </w:rPr>
        <w:t>、银川市生态环境局贺兰分局</w:t>
      </w:r>
    </w:p>
    <w:p>
      <w:pPr>
        <w:widowControl w:val="0"/>
        <w:wordWrap/>
        <w:adjustRightInd/>
        <w:snapToGrid/>
        <w:spacing w:line="560" w:lineRule="exact"/>
        <w:ind w:left="2244" w:leftChars="304" w:right="0" w:hanging="1606" w:hangingChars="500"/>
        <w:textAlignment w:val="auto"/>
        <w:rPr>
          <w:rFonts w:hint="eastAsia" w:ascii="仿宋_GB2312" w:hAnsi="宋体" w:eastAsia="仿宋_GB2312" w:cs="方正仿宋_GBK"/>
          <w:color w:val="000000"/>
          <w:sz w:val="32"/>
          <w:szCs w:val="32"/>
          <w:lang w:val="en-US" w:eastAsia="zh-CN"/>
        </w:rPr>
      </w:pPr>
      <w:r>
        <w:rPr>
          <w:rFonts w:hint="eastAsia" w:ascii="仿宋_GB2312" w:hAnsi="宋体" w:eastAsia="仿宋_GB2312" w:cs="方正仿宋_GBK"/>
          <w:b/>
          <w:bCs/>
          <w:color w:val="000000"/>
          <w:sz w:val="32"/>
          <w:szCs w:val="32"/>
          <w:lang w:val="en-US" w:eastAsia="zh-CN"/>
        </w:rPr>
        <w:t>配合单位：</w:t>
      </w:r>
      <w:r>
        <w:rPr>
          <w:rFonts w:hint="eastAsia" w:ascii="仿宋_GB2312" w:hAnsi="宋体" w:eastAsia="仿宋_GB2312" w:cs="方正仿宋_GBK"/>
          <w:color w:val="000000"/>
          <w:sz w:val="32"/>
          <w:szCs w:val="32"/>
          <w:lang w:val="zh-CN" w:eastAsia="zh-CN"/>
        </w:rPr>
        <w:t>发改局、财政</w:t>
      </w:r>
      <w:r>
        <w:rPr>
          <w:rFonts w:hint="eastAsia" w:ascii="仿宋_GB2312" w:hAnsi="宋体" w:eastAsia="仿宋_GB2312" w:cs="方正仿宋_GBK"/>
          <w:color w:val="000000"/>
          <w:sz w:val="32"/>
          <w:szCs w:val="32"/>
          <w:lang w:val="en-US" w:eastAsia="zh-CN"/>
        </w:rPr>
        <w:t>局</w:t>
      </w:r>
      <w:r>
        <w:rPr>
          <w:rFonts w:hint="eastAsia" w:ascii="仿宋_GB2312" w:hAnsi="宋体" w:eastAsia="仿宋_GB2312" w:cs="方正仿宋_GBK"/>
          <w:color w:val="000000"/>
          <w:sz w:val="32"/>
          <w:szCs w:val="32"/>
          <w:lang w:val="zh-CN" w:eastAsia="zh-CN"/>
        </w:rPr>
        <w:t>、综合执法局、</w:t>
      </w:r>
      <w:r>
        <w:rPr>
          <w:rFonts w:hint="eastAsia" w:ascii="仿宋_GB2312" w:hAnsi="仿宋_GB2312" w:eastAsia="仿宋_GB2312" w:cs="仿宋_GB2312"/>
          <w:color w:val="000000"/>
          <w:sz w:val="32"/>
          <w:szCs w:val="32"/>
          <w:lang w:val="en-US" w:eastAsia="zh-CN"/>
        </w:rPr>
        <w:t>各乡镇（场）</w:t>
      </w:r>
    </w:p>
    <w:p>
      <w:pPr>
        <w:widowControl w:val="0"/>
        <w:wordWrap/>
        <w:adjustRightInd/>
        <w:snapToGrid/>
        <w:spacing w:line="560" w:lineRule="exact"/>
        <w:ind w:right="0" w:firstLine="643" w:firstLineChars="200"/>
        <w:textAlignment w:val="auto"/>
        <w:rPr>
          <w:rFonts w:ascii="楷体_GB2312" w:hAnsi="楷体_GB2312" w:eastAsia="楷体_GB2312" w:cs="楷体_GB2312"/>
          <w:b/>
          <w:color w:val="000000"/>
          <w:spacing w:val="-6"/>
          <w:kern w:val="0"/>
          <w:sz w:val="32"/>
          <w:szCs w:val="32"/>
        </w:rPr>
      </w:pPr>
      <w:r>
        <w:rPr>
          <w:rFonts w:hint="eastAsia" w:ascii="楷体_GB2312" w:hAnsi="楷体_GB2312" w:eastAsia="楷体_GB2312" w:cs="楷体_GB2312"/>
          <w:b/>
          <w:color w:val="000000"/>
          <w:kern w:val="0"/>
          <w:sz w:val="32"/>
          <w:szCs w:val="32"/>
        </w:rPr>
        <w:t>（三）</w:t>
      </w:r>
      <w:r>
        <w:rPr>
          <w:rFonts w:hint="eastAsia" w:ascii="楷体_GB2312" w:hAnsi="楷体_GB2312" w:eastAsia="楷体_GB2312" w:cs="楷体_GB2312"/>
          <w:b/>
          <w:color w:val="000000"/>
          <w:spacing w:val="-6"/>
          <w:kern w:val="0"/>
          <w:sz w:val="32"/>
          <w:szCs w:val="32"/>
        </w:rPr>
        <w:t>建立从畜禽养殖空间布局到末端环境管理全体系监管</w:t>
      </w:r>
      <w:r>
        <w:rPr>
          <w:rFonts w:hint="eastAsia" w:ascii="楷体_GB2312" w:hAnsi="楷体_GB2312" w:eastAsia="楷体_GB2312" w:cs="楷体_GB2312"/>
          <w:b/>
          <w:color w:val="000000"/>
          <w:spacing w:val="-6"/>
          <w:kern w:val="0"/>
          <w:sz w:val="32"/>
          <w:szCs w:val="32"/>
          <w:lang w:eastAsia="zh-CN"/>
        </w:rPr>
        <w:t>。</w:t>
      </w:r>
    </w:p>
    <w:p>
      <w:pPr>
        <w:widowControl w:val="0"/>
        <w:numPr>
          <w:ilvl w:val="0"/>
          <w:numId w:val="0"/>
        </w:numPr>
        <w:wordWrap/>
        <w:adjustRightInd/>
        <w:snapToGrid/>
        <w:spacing w:line="560" w:lineRule="exact"/>
        <w:ind w:right="0"/>
        <w:textAlignment w:val="auto"/>
        <w:rPr>
          <w:rFonts w:hint="eastAsia" w:ascii="仿宋_GB2312" w:hAnsi="宋体" w:eastAsia="仿宋_GB2312" w:cs="仿宋_GB2312"/>
          <w:color w:val="000000"/>
          <w:sz w:val="32"/>
          <w:szCs w:val="32"/>
          <w:shd w:val="clear" w:color="auto" w:fill="FFFFFF"/>
          <w:lang w:val="zh-CN"/>
        </w:rPr>
      </w:pPr>
      <w:r>
        <w:rPr>
          <w:rFonts w:hint="eastAsia" w:ascii="仿宋_GB2312" w:hAnsi="宋体" w:eastAsia="仿宋_GB2312" w:cs="仿宋_GB2312"/>
          <w:b/>
          <w:bCs/>
          <w:color w:val="000000"/>
          <w:sz w:val="32"/>
          <w:szCs w:val="32"/>
          <w:shd w:val="clear" w:color="auto" w:fill="FFFFFF"/>
          <w:lang w:val="en-US" w:eastAsia="zh-CN"/>
        </w:rPr>
        <w:t xml:space="preserve">    8.</w:t>
      </w:r>
      <w:r>
        <w:rPr>
          <w:rFonts w:hint="eastAsia" w:ascii="仿宋_GB2312" w:hAnsi="宋体" w:eastAsia="仿宋_GB2312" w:cs="仿宋_GB2312"/>
          <w:b/>
          <w:bCs/>
          <w:color w:val="000000"/>
          <w:sz w:val="32"/>
          <w:szCs w:val="32"/>
          <w:shd w:val="clear" w:color="auto" w:fill="FFFFFF"/>
          <w:lang w:val="zh-CN"/>
        </w:rPr>
        <w:t>推进养殖生产清洁化和产业模式生态化。</w:t>
      </w:r>
      <w:r>
        <w:rPr>
          <w:rFonts w:hint="eastAsia" w:ascii="仿宋_GB2312" w:hAnsi="宋体" w:eastAsia="仿宋_GB2312" w:cs="仿宋_GB2312"/>
          <w:color w:val="000000"/>
          <w:sz w:val="32"/>
          <w:szCs w:val="32"/>
          <w:shd w:val="clear" w:color="auto" w:fill="FFFFFF"/>
          <w:lang w:val="zh-CN"/>
        </w:rPr>
        <w:t>按照农牧结合、种养平衡的原则，科学规划布局，优化调整畜禽养殖品种、规模、总量，推进畜禽养殖标准化示范创建，提高适度规模养殖比例，带动畜牧业绿色可持续发展。引导奶牛、肉牛、生猪生产向环境容量大的地区转移。推广节水、节料等清洁养殖工艺和干清粪、微生物发酵等实用技术，实现源头减量。严格规范兽药、饲料添加剂的生产使用，严厉打击生产企业违法违规使用兽用抗菌药物的行为。推进水产生态健康养殖，加强水产养殖池塘标准化改造。</w:t>
      </w:r>
    </w:p>
    <w:p>
      <w:pPr>
        <w:widowControl w:val="0"/>
        <w:wordWrap/>
        <w:adjustRightInd/>
        <w:snapToGrid/>
        <w:spacing w:line="560" w:lineRule="exact"/>
        <w:ind w:right="0" w:firstLine="642"/>
        <w:textAlignment w:val="auto"/>
        <w:rPr>
          <w:rFonts w:hint="eastAsia"/>
          <w:color w:val="000000"/>
          <w:lang w:val="en-US" w:eastAsia="zh-CN"/>
        </w:rPr>
      </w:pPr>
      <w:r>
        <w:rPr>
          <w:rFonts w:hint="eastAsia" w:ascii="仿宋_GB2312" w:hAnsi="宋体" w:eastAsia="仿宋_GB2312" w:cs="方正仿宋_GBK"/>
          <w:b/>
          <w:bCs/>
          <w:color w:val="000000"/>
          <w:sz w:val="32"/>
          <w:szCs w:val="32"/>
          <w:lang w:val="zh-CN" w:eastAsia="zh-CN"/>
        </w:rPr>
        <w:t>牵头单位：</w:t>
      </w:r>
      <w:r>
        <w:rPr>
          <w:rFonts w:hint="eastAsia" w:ascii="仿宋_GB2312" w:hAnsi="宋体" w:eastAsia="仿宋_GB2312" w:cs="方正仿宋_GBK"/>
          <w:color w:val="000000"/>
          <w:sz w:val="32"/>
          <w:szCs w:val="32"/>
          <w:lang w:val="zh-CN" w:eastAsia="zh-CN"/>
        </w:rPr>
        <w:t>农业农村</w:t>
      </w:r>
      <w:r>
        <w:rPr>
          <w:rFonts w:hint="eastAsia" w:ascii="仿宋_GB2312" w:hAnsi="宋体" w:eastAsia="仿宋_GB2312" w:cs="方正仿宋_GBK"/>
          <w:color w:val="000000"/>
          <w:sz w:val="32"/>
          <w:szCs w:val="32"/>
          <w:lang w:val="en-US" w:eastAsia="zh-CN"/>
        </w:rPr>
        <w:t>局</w:t>
      </w:r>
    </w:p>
    <w:p>
      <w:pPr>
        <w:pStyle w:val="6"/>
        <w:widowControl w:val="0"/>
        <w:wordWrap/>
        <w:adjustRightInd/>
        <w:snapToGrid/>
        <w:spacing w:after="0" w:line="560" w:lineRule="exact"/>
        <w:ind w:left="0" w:leftChars="0" w:right="0" w:firstLine="642" w:firstLineChars="0"/>
        <w:textAlignment w:val="auto"/>
        <w:rPr>
          <w:rFonts w:hint="eastAsia" w:ascii="仿宋_GB2312" w:hAnsi="宋体" w:eastAsia="仿宋_GB2312" w:cs="方正仿宋_GBK"/>
          <w:color w:val="000000"/>
          <w:sz w:val="32"/>
          <w:szCs w:val="32"/>
          <w:lang w:val="en-US" w:eastAsia="zh-CN"/>
        </w:rPr>
      </w:pPr>
      <w:r>
        <w:rPr>
          <w:rFonts w:hint="eastAsia" w:ascii="仿宋_GB2312" w:hAnsi="宋体" w:eastAsia="仿宋_GB2312" w:cs="方正仿宋_GBK"/>
          <w:b/>
          <w:bCs/>
          <w:color w:val="000000"/>
          <w:sz w:val="32"/>
          <w:szCs w:val="32"/>
          <w:lang w:val="en-US" w:eastAsia="zh-CN"/>
        </w:rPr>
        <w:t>配合单位：</w:t>
      </w:r>
      <w:r>
        <w:rPr>
          <w:rFonts w:hint="eastAsia" w:ascii="仿宋_GB2312" w:hAnsi="仿宋_GB2312" w:eastAsia="仿宋_GB2312" w:cs="仿宋_GB2312"/>
          <w:color w:val="000000"/>
          <w:sz w:val="32"/>
          <w:szCs w:val="32"/>
          <w:lang w:val="en-US" w:eastAsia="zh-CN"/>
        </w:rPr>
        <w:t>各乡镇（场）</w:t>
      </w:r>
    </w:p>
    <w:p>
      <w:pPr>
        <w:pStyle w:val="6"/>
        <w:widowControl w:val="0"/>
        <w:numPr>
          <w:ilvl w:val="0"/>
          <w:numId w:val="0"/>
        </w:numPr>
        <w:wordWrap/>
        <w:adjustRightInd/>
        <w:snapToGrid/>
        <w:spacing w:after="0" w:line="560" w:lineRule="exact"/>
        <w:ind w:right="0"/>
        <w:textAlignment w:val="auto"/>
        <w:rPr>
          <w:rFonts w:hint="eastAsia" w:ascii="仿宋_GB2312" w:hAnsi="宋体" w:eastAsia="仿宋_GB2312" w:cs="仿宋_GB2312"/>
          <w:color w:val="000000"/>
          <w:kern w:val="2"/>
          <w:sz w:val="32"/>
          <w:szCs w:val="32"/>
          <w:shd w:val="clear" w:color="auto" w:fill="FFFFFF"/>
          <w:lang w:val="zh-CN" w:eastAsia="zh-CN" w:bidi="ar-SA"/>
        </w:rPr>
      </w:pPr>
      <w:r>
        <w:rPr>
          <w:rFonts w:hint="eastAsia" w:ascii="仿宋_GB2312" w:hAnsi="宋体" w:eastAsia="仿宋_GB2312" w:cs="仿宋_GB2312"/>
          <w:color w:val="000000"/>
          <w:kern w:val="2"/>
          <w:sz w:val="32"/>
          <w:szCs w:val="32"/>
          <w:shd w:val="clear" w:color="auto" w:fill="FFFFFF"/>
          <w:lang w:val="en-US" w:eastAsia="zh-CN" w:bidi="ar-SA"/>
        </w:rPr>
        <w:t xml:space="preserve">   </w:t>
      </w:r>
      <w:r>
        <w:rPr>
          <w:rFonts w:hint="eastAsia" w:ascii="仿宋_GB2312" w:hAnsi="宋体" w:eastAsia="仿宋_GB2312" w:cs="仿宋_GB2312"/>
          <w:b/>
          <w:bCs/>
          <w:color w:val="000000"/>
          <w:kern w:val="2"/>
          <w:sz w:val="32"/>
          <w:szCs w:val="32"/>
          <w:shd w:val="clear" w:color="auto" w:fill="FFFFFF"/>
          <w:lang w:val="en-US" w:eastAsia="zh-CN" w:bidi="ar-SA"/>
        </w:rPr>
        <w:t xml:space="preserve"> 9.</w:t>
      </w:r>
      <w:r>
        <w:rPr>
          <w:rFonts w:hint="eastAsia" w:ascii="仿宋_GB2312" w:hAnsi="宋体" w:eastAsia="仿宋_GB2312" w:cs="仿宋_GB2312"/>
          <w:b/>
          <w:bCs/>
          <w:color w:val="000000"/>
          <w:kern w:val="2"/>
          <w:sz w:val="32"/>
          <w:szCs w:val="32"/>
          <w:shd w:val="clear" w:color="auto" w:fill="FFFFFF"/>
          <w:lang w:val="zh-CN" w:eastAsia="zh-CN" w:bidi="ar-SA"/>
        </w:rPr>
        <w:t>加强畜禽粪污资源化利用。</w:t>
      </w:r>
      <w:r>
        <w:rPr>
          <w:rFonts w:hint="eastAsia" w:ascii="仿宋_GB2312" w:hAnsi="宋体" w:eastAsia="仿宋_GB2312" w:cs="仿宋_GB2312"/>
          <w:color w:val="000000"/>
          <w:kern w:val="2"/>
          <w:sz w:val="32"/>
          <w:szCs w:val="32"/>
          <w:shd w:val="clear" w:color="auto" w:fill="FFFFFF"/>
          <w:lang w:val="zh-CN" w:eastAsia="zh-CN" w:bidi="ar-SA"/>
        </w:rPr>
        <w:t>推进畜禽粪污资源化利用，鼓励和引导第三方处理企业将养殖场户畜禽粪污进行专业化集中处理；引导商品有机肥厂产业化发展；加强畜禽粪污资源化利用技术集成，因地制宜推广粪污全量收集还田利用等技术模式。2020年底前，规模养殖场粪污处理设施装备配套率达到95%以上，畜禽粪污资源化利用率达90%以上。</w:t>
      </w:r>
    </w:p>
    <w:p>
      <w:pPr>
        <w:widowControl w:val="0"/>
        <w:wordWrap/>
        <w:adjustRightInd/>
        <w:snapToGrid/>
        <w:spacing w:line="560" w:lineRule="exact"/>
        <w:ind w:right="0" w:firstLine="643" w:firstLineChars="200"/>
        <w:textAlignment w:val="auto"/>
        <w:rPr>
          <w:rFonts w:hint="eastAsia"/>
          <w:color w:val="000000"/>
          <w:lang w:val="en-US" w:eastAsia="zh-CN"/>
        </w:rPr>
      </w:pPr>
      <w:r>
        <w:rPr>
          <w:rFonts w:hint="eastAsia" w:ascii="仿宋_GB2312" w:hAnsi="宋体" w:eastAsia="仿宋_GB2312" w:cs="方正仿宋_GBK"/>
          <w:b/>
          <w:bCs/>
          <w:color w:val="000000"/>
          <w:sz w:val="32"/>
          <w:szCs w:val="32"/>
          <w:lang w:val="zh-CN" w:eastAsia="zh-CN"/>
        </w:rPr>
        <w:t>牵头单位：</w:t>
      </w:r>
      <w:r>
        <w:rPr>
          <w:rFonts w:hint="eastAsia" w:ascii="仿宋_GB2312" w:hAnsi="宋体" w:eastAsia="仿宋_GB2312" w:cs="方正仿宋_GBK"/>
          <w:color w:val="000000"/>
          <w:sz w:val="32"/>
          <w:szCs w:val="32"/>
          <w:lang w:val="zh-CN" w:eastAsia="zh-CN"/>
        </w:rPr>
        <w:t>农业农村</w:t>
      </w:r>
      <w:r>
        <w:rPr>
          <w:rFonts w:hint="eastAsia" w:ascii="仿宋_GB2312" w:hAnsi="宋体" w:eastAsia="仿宋_GB2312" w:cs="方正仿宋_GBK"/>
          <w:color w:val="000000"/>
          <w:sz w:val="32"/>
          <w:szCs w:val="32"/>
          <w:lang w:val="en-US" w:eastAsia="zh-CN"/>
        </w:rPr>
        <w:t>局</w:t>
      </w:r>
    </w:p>
    <w:p>
      <w:pPr>
        <w:pStyle w:val="6"/>
        <w:widowControl w:val="0"/>
        <w:wordWrap/>
        <w:adjustRightInd/>
        <w:snapToGrid/>
        <w:spacing w:after="0" w:line="560" w:lineRule="exact"/>
        <w:ind w:left="0" w:leftChars="0" w:right="0" w:firstLine="642" w:firstLineChars="0"/>
        <w:textAlignment w:val="auto"/>
        <w:rPr>
          <w:rFonts w:hint="eastAsia" w:ascii="仿宋_GB2312" w:hAnsi="宋体" w:eastAsia="仿宋_GB2312" w:cs="方正仿宋_GBK"/>
          <w:color w:val="000000"/>
          <w:sz w:val="32"/>
          <w:szCs w:val="32"/>
          <w:lang w:val="en-US" w:eastAsia="zh-CN"/>
        </w:rPr>
      </w:pPr>
      <w:r>
        <w:rPr>
          <w:rFonts w:hint="eastAsia" w:ascii="仿宋_GB2312" w:hAnsi="宋体" w:eastAsia="仿宋_GB2312" w:cs="方正仿宋_GBK"/>
          <w:b/>
          <w:bCs/>
          <w:color w:val="000000"/>
          <w:sz w:val="32"/>
          <w:szCs w:val="32"/>
          <w:lang w:val="en-US" w:eastAsia="zh-CN"/>
        </w:rPr>
        <w:t>配合单位：</w:t>
      </w:r>
      <w:r>
        <w:rPr>
          <w:rFonts w:hint="eastAsia" w:ascii="仿宋_GB2312" w:hAnsi="仿宋_GB2312" w:eastAsia="仿宋_GB2312" w:cs="仿宋_GB2312"/>
          <w:color w:val="000000"/>
          <w:sz w:val="32"/>
          <w:szCs w:val="32"/>
          <w:lang w:val="en-US" w:eastAsia="zh-CN"/>
        </w:rPr>
        <w:t>各乡镇（场）</w:t>
      </w:r>
    </w:p>
    <w:p>
      <w:pPr>
        <w:widowControl w:val="0"/>
        <w:wordWrap/>
        <w:adjustRightInd/>
        <w:snapToGrid/>
        <w:spacing w:line="560" w:lineRule="exact"/>
        <w:ind w:right="0" w:firstLine="642"/>
        <w:textAlignment w:val="auto"/>
        <w:rPr>
          <w:rFonts w:hint="eastAsia" w:ascii="仿宋_GB2312" w:hAnsi="宋体" w:eastAsia="仿宋_GB2312" w:cs="仿宋_GB2312"/>
          <w:color w:val="000000"/>
          <w:sz w:val="32"/>
          <w:szCs w:val="32"/>
          <w:shd w:val="clear" w:color="auto" w:fill="FFFFFF"/>
          <w:lang w:val="zh-CN"/>
        </w:rPr>
      </w:pPr>
      <w:r>
        <w:rPr>
          <w:rFonts w:hint="eastAsia" w:ascii="仿宋_GB2312" w:hAnsi="宋体" w:eastAsia="仿宋_GB2312" w:cs="仿宋_GB2312"/>
          <w:b/>
          <w:bCs/>
          <w:color w:val="000000"/>
          <w:sz w:val="32"/>
          <w:szCs w:val="32"/>
          <w:shd w:val="clear" w:color="auto" w:fill="FFFFFF"/>
          <w:lang w:val="en-US" w:eastAsia="zh-CN"/>
        </w:rPr>
        <w:t>10.</w:t>
      </w:r>
      <w:r>
        <w:rPr>
          <w:rFonts w:hint="eastAsia" w:ascii="仿宋_GB2312" w:hAnsi="宋体" w:eastAsia="仿宋_GB2312" w:cs="仿宋_GB2312"/>
          <w:b/>
          <w:bCs/>
          <w:color w:val="000000"/>
          <w:sz w:val="32"/>
          <w:szCs w:val="32"/>
          <w:shd w:val="clear" w:color="auto" w:fill="FFFFFF"/>
          <w:lang w:val="zh-CN"/>
        </w:rPr>
        <w:t>严格畜禽规模养殖环境监管。</w:t>
      </w:r>
      <w:r>
        <w:rPr>
          <w:rFonts w:hint="eastAsia" w:ascii="仿宋_GB2312" w:hAnsi="宋体" w:eastAsia="仿宋_GB2312" w:cs="仿宋_GB2312"/>
          <w:color w:val="000000"/>
          <w:sz w:val="32"/>
          <w:szCs w:val="32"/>
          <w:shd w:val="clear" w:color="auto" w:fill="FFFFFF"/>
          <w:lang w:val="zh-CN"/>
        </w:rPr>
        <w:t>严格</w:t>
      </w:r>
      <w:r>
        <w:rPr>
          <w:rFonts w:ascii="仿宋_GB2312" w:hAnsi="宋体" w:eastAsia="仿宋_GB2312" w:cs="仿宋_GB2312"/>
          <w:color w:val="000000"/>
          <w:sz w:val="32"/>
          <w:szCs w:val="32"/>
          <w:shd w:val="clear" w:color="auto" w:fill="FFFFFF"/>
          <w:lang w:val="zh-CN"/>
        </w:rPr>
        <w:t>执行</w:t>
      </w:r>
      <w:r>
        <w:rPr>
          <w:rFonts w:hint="eastAsia" w:ascii="仿宋_GB2312" w:hAnsi="宋体" w:eastAsia="仿宋_GB2312" w:cs="仿宋_GB2312"/>
          <w:color w:val="000000"/>
          <w:sz w:val="32"/>
          <w:szCs w:val="32"/>
          <w:shd w:val="clear" w:color="auto" w:fill="FFFFFF"/>
          <w:lang w:val="zh-CN"/>
        </w:rPr>
        <w:t>《畜禽</w:t>
      </w:r>
      <w:r>
        <w:rPr>
          <w:rFonts w:ascii="仿宋_GB2312" w:hAnsi="宋体" w:eastAsia="仿宋_GB2312" w:cs="仿宋_GB2312"/>
          <w:color w:val="000000"/>
          <w:sz w:val="32"/>
          <w:szCs w:val="32"/>
          <w:shd w:val="clear" w:color="auto" w:fill="FFFFFF"/>
          <w:lang w:val="zh-CN"/>
        </w:rPr>
        <w:t>规模养殖污染防治条例</w:t>
      </w:r>
      <w:r>
        <w:rPr>
          <w:rFonts w:hint="eastAsia" w:ascii="仿宋_GB2312" w:hAnsi="宋体" w:eastAsia="仿宋_GB2312" w:cs="仿宋_GB2312"/>
          <w:color w:val="000000"/>
          <w:sz w:val="32"/>
          <w:szCs w:val="32"/>
          <w:shd w:val="clear" w:color="auto" w:fill="FFFFFF"/>
          <w:lang w:val="zh-CN"/>
        </w:rPr>
        <w:t>》。将规模以上畜禽养殖场纳入重点污染源管理，规范环境准入，落实环境影响评价和排污许可制度。将符合有关标准和要求的还田利用量作为统计污染物削减量的重要依据。推动畜禽养殖场配备视频监控设施，记录粪污处理、运输和资源化利用等情况，防止粪污偷运偷排。</w:t>
      </w:r>
    </w:p>
    <w:p>
      <w:pPr>
        <w:widowControl w:val="0"/>
        <w:wordWrap/>
        <w:adjustRightInd/>
        <w:snapToGrid/>
        <w:spacing w:line="560" w:lineRule="exact"/>
        <w:ind w:right="0" w:firstLine="643" w:firstLineChars="200"/>
        <w:textAlignment w:val="auto"/>
        <w:rPr>
          <w:rFonts w:hint="eastAsia" w:ascii="仿宋_GB2312" w:hAnsi="宋体" w:eastAsia="仿宋_GB2312" w:cs="方正仿宋_GBK"/>
          <w:b w:val="0"/>
          <w:bCs w:val="0"/>
          <w:color w:val="000000"/>
          <w:sz w:val="32"/>
          <w:szCs w:val="32"/>
          <w:lang w:val="en-US" w:eastAsia="zh-CN"/>
        </w:rPr>
      </w:pPr>
      <w:r>
        <w:rPr>
          <w:rFonts w:hint="eastAsia" w:ascii="仿宋_GB2312" w:hAnsi="宋体" w:eastAsia="仿宋_GB2312" w:cs="方正仿宋_GBK"/>
          <w:b/>
          <w:bCs/>
          <w:color w:val="000000"/>
          <w:sz w:val="32"/>
          <w:szCs w:val="32"/>
          <w:lang w:val="zh-CN" w:eastAsia="zh-CN"/>
        </w:rPr>
        <w:t>牵头单位：</w:t>
      </w:r>
      <w:r>
        <w:rPr>
          <w:rFonts w:hint="eastAsia" w:ascii="仿宋_GB2312" w:hAnsi="宋体" w:eastAsia="仿宋_GB2312" w:cs="方正仿宋_GBK"/>
          <w:b w:val="0"/>
          <w:bCs w:val="0"/>
          <w:color w:val="000000"/>
          <w:sz w:val="32"/>
          <w:szCs w:val="32"/>
          <w:lang w:val="zh-CN" w:eastAsia="zh-CN"/>
        </w:rPr>
        <w:t>银川市</w:t>
      </w:r>
      <w:r>
        <w:rPr>
          <w:rFonts w:hint="eastAsia" w:ascii="仿宋_GB2312" w:hAnsi="宋体" w:eastAsia="仿宋_GB2312" w:cs="方正仿宋_GBK"/>
          <w:b w:val="0"/>
          <w:bCs w:val="0"/>
          <w:color w:val="000000"/>
          <w:sz w:val="32"/>
          <w:szCs w:val="32"/>
          <w:lang w:val="en-US" w:eastAsia="zh-CN"/>
        </w:rPr>
        <w:t>生态环境局贺兰分局</w:t>
      </w:r>
    </w:p>
    <w:p>
      <w:pPr>
        <w:widowControl w:val="0"/>
        <w:wordWrap/>
        <w:adjustRightInd/>
        <w:snapToGrid/>
        <w:spacing w:line="560" w:lineRule="exact"/>
        <w:ind w:right="0" w:firstLine="643" w:firstLineChars="200"/>
        <w:textAlignment w:val="auto"/>
        <w:rPr>
          <w:rFonts w:hint="eastAsia" w:ascii="仿宋_GB2312" w:hAnsi="宋体" w:eastAsia="仿宋_GB2312" w:cs="方正仿宋_GBK"/>
          <w:b w:val="0"/>
          <w:bCs w:val="0"/>
          <w:color w:val="000000"/>
          <w:sz w:val="32"/>
          <w:szCs w:val="32"/>
          <w:lang w:val="en-US" w:eastAsia="zh-CN"/>
        </w:rPr>
      </w:pPr>
      <w:r>
        <w:rPr>
          <w:rFonts w:hint="eastAsia" w:ascii="仿宋_GB2312" w:hAnsi="宋体" w:eastAsia="仿宋_GB2312" w:cs="方正仿宋_GBK"/>
          <w:b/>
          <w:bCs/>
          <w:color w:val="000000"/>
          <w:sz w:val="32"/>
          <w:szCs w:val="32"/>
          <w:lang w:val="en-US" w:eastAsia="zh-CN"/>
        </w:rPr>
        <w:t>配合单位：</w:t>
      </w:r>
      <w:r>
        <w:rPr>
          <w:rFonts w:hint="eastAsia" w:ascii="仿宋_GB2312" w:hAnsi="宋体" w:eastAsia="仿宋_GB2312" w:cs="方正仿宋_GBK"/>
          <w:b w:val="0"/>
          <w:bCs w:val="0"/>
          <w:color w:val="000000"/>
          <w:sz w:val="32"/>
          <w:szCs w:val="32"/>
          <w:lang w:val="en-US" w:eastAsia="zh-CN"/>
        </w:rPr>
        <w:t>农业农村局、</w:t>
      </w:r>
      <w:r>
        <w:rPr>
          <w:rFonts w:hint="eastAsia" w:ascii="仿宋_GB2312" w:hAnsi="仿宋_GB2312" w:eastAsia="仿宋_GB2312" w:cs="仿宋_GB2312"/>
          <w:color w:val="000000"/>
          <w:sz w:val="32"/>
          <w:szCs w:val="32"/>
          <w:lang w:val="en-US" w:eastAsia="zh-CN"/>
        </w:rPr>
        <w:t>各乡镇（场）</w:t>
      </w:r>
    </w:p>
    <w:p>
      <w:pPr>
        <w:widowControl w:val="0"/>
        <w:numPr>
          <w:ilvl w:val="0"/>
          <w:numId w:val="0"/>
        </w:numPr>
        <w:wordWrap/>
        <w:adjustRightInd/>
        <w:snapToGrid/>
        <w:spacing w:line="560" w:lineRule="exact"/>
        <w:ind w:right="0" w:firstLine="643" w:firstLineChars="200"/>
        <w:textAlignment w:val="auto"/>
        <w:rPr>
          <w:rFonts w:hint="eastAsia" w:ascii="仿宋_GB2312" w:hAnsi="宋体" w:eastAsia="仿宋_GB2312" w:cs="仿宋_GB2312"/>
          <w:color w:val="000000"/>
          <w:sz w:val="32"/>
          <w:szCs w:val="32"/>
          <w:shd w:val="clear" w:color="auto" w:fill="FFFFFF"/>
          <w:lang w:val="zh-CN"/>
        </w:rPr>
      </w:pPr>
      <w:r>
        <w:rPr>
          <w:rFonts w:hint="eastAsia" w:ascii="仿宋_GB2312" w:hAnsi="宋体" w:eastAsia="仿宋_GB2312" w:cs="仿宋_GB2312"/>
          <w:b/>
          <w:bCs/>
          <w:color w:val="000000"/>
          <w:sz w:val="32"/>
          <w:szCs w:val="32"/>
          <w:shd w:val="clear" w:color="auto" w:fill="FFFFFF"/>
          <w:lang w:val="en-US" w:eastAsia="zh-CN"/>
        </w:rPr>
        <w:t>11.</w:t>
      </w:r>
      <w:r>
        <w:rPr>
          <w:rFonts w:ascii="仿宋_GB2312" w:hAnsi="宋体" w:eastAsia="仿宋_GB2312" w:cs="仿宋_GB2312"/>
          <w:b/>
          <w:bCs/>
          <w:color w:val="000000"/>
          <w:sz w:val="32"/>
          <w:szCs w:val="32"/>
          <w:shd w:val="clear" w:color="auto" w:fill="FFFFFF"/>
          <w:lang w:val="zh-CN"/>
        </w:rPr>
        <w:t>依法做好畜禽养殖禁养区</w:t>
      </w:r>
      <w:r>
        <w:rPr>
          <w:rFonts w:hint="eastAsia" w:ascii="仿宋_GB2312" w:hAnsi="宋体" w:eastAsia="仿宋_GB2312" w:cs="仿宋_GB2312"/>
          <w:b/>
          <w:bCs/>
          <w:color w:val="000000"/>
          <w:sz w:val="32"/>
          <w:szCs w:val="32"/>
          <w:shd w:val="clear" w:color="auto" w:fill="FFFFFF"/>
          <w:lang w:val="zh-CN"/>
        </w:rPr>
        <w:t>划定</w:t>
      </w:r>
      <w:r>
        <w:rPr>
          <w:rFonts w:ascii="仿宋_GB2312" w:hAnsi="宋体" w:eastAsia="仿宋_GB2312" w:cs="仿宋_GB2312"/>
          <w:b/>
          <w:bCs/>
          <w:color w:val="000000"/>
          <w:sz w:val="32"/>
          <w:szCs w:val="32"/>
          <w:shd w:val="clear" w:color="auto" w:fill="FFFFFF"/>
          <w:lang w:val="zh-CN"/>
        </w:rPr>
        <w:t>和管理工作</w:t>
      </w:r>
      <w:r>
        <w:rPr>
          <w:rFonts w:hint="eastAsia" w:ascii="仿宋_GB2312" w:hAnsi="宋体" w:eastAsia="仿宋_GB2312" w:cs="仿宋_GB2312"/>
          <w:b/>
          <w:bCs/>
          <w:color w:val="000000"/>
          <w:sz w:val="32"/>
          <w:szCs w:val="32"/>
          <w:shd w:val="clear" w:color="auto" w:fill="FFFFFF"/>
          <w:lang w:val="zh-CN"/>
        </w:rPr>
        <w:t>。</w:t>
      </w:r>
      <w:r>
        <w:rPr>
          <w:rFonts w:hint="eastAsia" w:ascii="仿宋_GB2312" w:hAnsi="宋体" w:eastAsia="仿宋_GB2312" w:cs="仿宋_GB2312"/>
          <w:b w:val="0"/>
          <w:bCs w:val="0"/>
          <w:color w:val="000000"/>
          <w:sz w:val="32"/>
          <w:szCs w:val="32"/>
          <w:shd w:val="clear" w:color="auto" w:fill="FFFFFF"/>
          <w:lang w:val="zh-CN"/>
        </w:rPr>
        <w:t>积极配合自治区</w:t>
      </w:r>
      <w:r>
        <w:rPr>
          <w:rFonts w:hint="eastAsia" w:ascii="仿宋_GB2312" w:hAnsi="宋体" w:eastAsia="仿宋_GB2312" w:cs="仿宋_GB2312"/>
          <w:color w:val="000000"/>
          <w:sz w:val="32"/>
          <w:szCs w:val="32"/>
          <w:shd w:val="clear" w:color="auto" w:fill="FFFFFF"/>
          <w:lang w:val="zh-CN"/>
        </w:rPr>
        <w:t>完善畜禽规模养殖场直联直报信息系统，构建统一管理、分级使用、共享直联的管理平台。</w:t>
      </w:r>
    </w:p>
    <w:p>
      <w:pPr>
        <w:widowControl w:val="0"/>
        <w:wordWrap/>
        <w:adjustRightInd/>
        <w:snapToGrid/>
        <w:spacing w:line="560" w:lineRule="exact"/>
        <w:ind w:right="0" w:firstLine="642"/>
        <w:textAlignment w:val="auto"/>
        <w:rPr>
          <w:rFonts w:hint="eastAsia" w:ascii="仿宋_GB2312" w:hAnsi="宋体" w:eastAsia="仿宋_GB2312" w:cs="方正仿宋_GBK"/>
          <w:color w:val="000000"/>
          <w:sz w:val="32"/>
          <w:szCs w:val="32"/>
          <w:lang w:val="en-US" w:eastAsia="zh-CN"/>
        </w:rPr>
      </w:pPr>
      <w:r>
        <w:rPr>
          <w:rFonts w:hint="eastAsia" w:ascii="仿宋_GB2312" w:hAnsi="宋体" w:eastAsia="仿宋_GB2312" w:cs="方正仿宋_GBK"/>
          <w:b/>
          <w:bCs/>
          <w:color w:val="000000"/>
          <w:sz w:val="32"/>
          <w:szCs w:val="32"/>
          <w:lang w:val="zh-CN" w:eastAsia="zh-CN"/>
        </w:rPr>
        <w:t>牵头单位：</w:t>
      </w:r>
      <w:r>
        <w:rPr>
          <w:rFonts w:hint="eastAsia" w:ascii="仿宋_GB2312" w:hAnsi="宋体" w:eastAsia="仿宋_GB2312" w:cs="方正仿宋_GBK"/>
          <w:color w:val="000000"/>
          <w:sz w:val="32"/>
          <w:szCs w:val="32"/>
          <w:lang w:val="en-US" w:eastAsia="zh-CN"/>
        </w:rPr>
        <w:t>农业农村局</w:t>
      </w:r>
    </w:p>
    <w:p>
      <w:pPr>
        <w:pStyle w:val="6"/>
        <w:widowControl w:val="0"/>
        <w:wordWrap/>
        <w:adjustRightInd/>
        <w:snapToGrid/>
        <w:spacing w:after="0" w:line="560" w:lineRule="exact"/>
        <w:ind w:left="0" w:leftChars="0" w:right="0" w:firstLine="642" w:firstLineChars="0"/>
        <w:textAlignment w:val="auto"/>
        <w:rPr>
          <w:rFonts w:hint="eastAsia" w:ascii="仿宋_GB2312" w:hAnsi="宋体" w:eastAsia="仿宋_GB2312" w:cs="方正仿宋_GBK"/>
          <w:color w:val="000000"/>
          <w:sz w:val="32"/>
          <w:szCs w:val="32"/>
          <w:lang w:val="en-US" w:eastAsia="zh-CN"/>
        </w:rPr>
      </w:pPr>
      <w:r>
        <w:rPr>
          <w:rFonts w:hint="eastAsia" w:ascii="仿宋_GB2312" w:hAnsi="宋体" w:eastAsia="仿宋_GB2312" w:cs="方正仿宋_GBK"/>
          <w:b/>
          <w:bCs/>
          <w:color w:val="000000"/>
          <w:sz w:val="32"/>
          <w:szCs w:val="32"/>
          <w:lang w:val="en-US" w:eastAsia="zh-CN"/>
        </w:rPr>
        <w:t>配合单位：</w:t>
      </w:r>
      <w:r>
        <w:rPr>
          <w:rFonts w:hint="eastAsia" w:ascii="仿宋_GB2312" w:hAnsi="宋体" w:cs="方正仿宋_GBK"/>
          <w:b w:val="0"/>
          <w:bCs w:val="0"/>
          <w:color w:val="000000"/>
          <w:sz w:val="32"/>
          <w:szCs w:val="32"/>
          <w:lang w:val="en-US" w:eastAsia="zh-CN"/>
        </w:rPr>
        <w:t>银川市</w:t>
      </w:r>
      <w:r>
        <w:rPr>
          <w:rFonts w:hint="eastAsia" w:ascii="仿宋_GB2312" w:hAnsi="宋体" w:eastAsia="仿宋_GB2312" w:cs="方正仿宋_GBK"/>
          <w:color w:val="000000"/>
          <w:sz w:val="32"/>
          <w:szCs w:val="32"/>
          <w:lang w:val="en-US" w:eastAsia="zh-CN"/>
        </w:rPr>
        <w:t>生态环境局</w:t>
      </w:r>
      <w:r>
        <w:rPr>
          <w:rFonts w:hint="eastAsia" w:ascii="仿宋_GB2312" w:hAnsi="宋体" w:cs="方正仿宋_GBK"/>
          <w:color w:val="000000"/>
          <w:sz w:val="32"/>
          <w:szCs w:val="32"/>
          <w:lang w:val="en-US" w:eastAsia="zh-CN"/>
        </w:rPr>
        <w:t>贺兰分局、</w:t>
      </w:r>
      <w:r>
        <w:rPr>
          <w:rFonts w:hint="eastAsia" w:ascii="仿宋_GB2312" w:hAnsi="仿宋_GB2312" w:eastAsia="仿宋_GB2312" w:cs="仿宋_GB2312"/>
          <w:color w:val="000000"/>
          <w:sz w:val="32"/>
          <w:szCs w:val="32"/>
          <w:lang w:val="en-US" w:eastAsia="zh-CN"/>
        </w:rPr>
        <w:t>各乡镇（场）</w:t>
      </w:r>
    </w:p>
    <w:p>
      <w:pPr>
        <w:widowControl w:val="0"/>
        <w:numPr>
          <w:ilvl w:val="0"/>
          <w:numId w:val="0"/>
        </w:numPr>
        <w:wordWrap/>
        <w:adjustRightInd/>
        <w:snapToGrid/>
        <w:spacing w:line="560" w:lineRule="exact"/>
        <w:ind w:right="0" w:firstLine="643" w:firstLineChars="200"/>
        <w:textAlignment w:val="auto"/>
        <w:rPr>
          <w:rFonts w:hint="eastAsia" w:ascii="仿宋_GB2312" w:hAnsi="宋体" w:eastAsia="仿宋_GB2312" w:cs="仿宋_GB2312"/>
          <w:color w:val="000000"/>
          <w:sz w:val="32"/>
          <w:szCs w:val="32"/>
          <w:shd w:val="clear" w:color="auto" w:fill="FFFFFF"/>
          <w:lang w:val="zh-CN"/>
        </w:rPr>
      </w:pPr>
      <w:r>
        <w:rPr>
          <w:rFonts w:hint="eastAsia" w:ascii="仿宋_GB2312" w:hAnsi="仿宋_GB2312" w:eastAsia="仿宋_GB2312" w:cs="仿宋_GB2312"/>
          <w:b/>
          <w:bCs/>
          <w:color w:val="000000"/>
          <w:sz w:val="32"/>
          <w:szCs w:val="32"/>
          <w:shd w:val="clear" w:color="auto" w:fill="FFFFFF"/>
          <w:lang w:val="en-US" w:eastAsia="zh-CN"/>
        </w:rPr>
        <w:t>12.</w:t>
      </w:r>
      <w:r>
        <w:rPr>
          <w:rFonts w:hint="eastAsia" w:ascii="仿宋_GB2312" w:hAnsi="仿宋_GB2312" w:eastAsia="仿宋_GB2312" w:cs="仿宋_GB2312"/>
          <w:b/>
          <w:bCs/>
          <w:color w:val="000000"/>
          <w:sz w:val="32"/>
          <w:szCs w:val="32"/>
          <w:shd w:val="clear" w:color="auto" w:fill="FFFFFF"/>
          <w:lang w:val="zh-CN"/>
        </w:rPr>
        <w:t>加强水产养殖污染防治和水生生态保护。</w:t>
      </w:r>
      <w:r>
        <w:rPr>
          <w:rFonts w:hint="eastAsia" w:ascii="仿宋_GB2312" w:hAnsi="宋体" w:eastAsia="仿宋_GB2312" w:cs="仿宋_GB2312"/>
          <w:color w:val="000000"/>
          <w:sz w:val="32"/>
          <w:szCs w:val="32"/>
          <w:shd w:val="clear" w:color="auto" w:fill="FFFFFF"/>
          <w:lang w:val="zh-CN"/>
        </w:rPr>
        <w:t>继续实施黄河禁渔期制度</w:t>
      </w:r>
      <w:r>
        <w:rPr>
          <w:rFonts w:hint="eastAsia" w:ascii="仿宋_GB2312" w:hAnsi="宋体" w:eastAsia="仿宋_GB2312" w:cs="仿宋_GB2312"/>
          <w:color w:val="000000"/>
          <w:sz w:val="32"/>
          <w:szCs w:val="32"/>
          <w:shd w:val="clear" w:color="auto" w:fill="FFFFFF"/>
        </w:rPr>
        <w:t>，禁渔期开展渔业执法检查，打击非法捕捞行为。实施“以渔净水”，</w:t>
      </w:r>
      <w:r>
        <w:rPr>
          <w:rFonts w:hint="eastAsia" w:ascii="仿宋_GB2312" w:hAnsi="宋体" w:eastAsia="仿宋_GB2312" w:cs="仿宋_GB2312"/>
          <w:color w:val="000000"/>
          <w:sz w:val="32"/>
          <w:szCs w:val="32"/>
          <w:shd w:val="clear" w:color="auto" w:fill="FFFFFF"/>
          <w:lang w:val="zh-CN"/>
        </w:rPr>
        <w:t>完善和优化水产养殖空间布局规划，扩大发展大水面生态增养殖和稻渔种养等健康养殖方式。组织鱼类资源增值放流，强化水生生物资源保护宣传，促进河流湖泊休养生息。积极发展大水面生态增养殖、工厂化循环水养殖、池塘工程化循环水养殖、稻渔立体生态种养等健康养殖方式，加快推进养殖节水减排。</w:t>
      </w:r>
    </w:p>
    <w:p>
      <w:pPr>
        <w:widowControl w:val="0"/>
        <w:wordWrap/>
        <w:adjustRightInd/>
        <w:snapToGrid/>
        <w:spacing w:line="560" w:lineRule="exact"/>
        <w:ind w:right="0" w:firstLine="643" w:firstLineChars="200"/>
        <w:textAlignment w:val="auto"/>
        <w:rPr>
          <w:rFonts w:hint="eastAsia" w:ascii="仿宋_GB2312" w:hAnsi="宋体" w:eastAsia="仿宋_GB2312" w:cs="方正仿宋_GBK"/>
          <w:b w:val="0"/>
          <w:bCs w:val="0"/>
          <w:color w:val="000000"/>
          <w:sz w:val="32"/>
          <w:szCs w:val="32"/>
          <w:lang w:val="en-US" w:eastAsia="zh-CN"/>
        </w:rPr>
      </w:pPr>
      <w:r>
        <w:rPr>
          <w:rFonts w:hint="eastAsia" w:ascii="仿宋_GB2312" w:hAnsi="宋体" w:eastAsia="仿宋_GB2312" w:cs="方正仿宋_GBK"/>
          <w:b/>
          <w:bCs/>
          <w:color w:val="000000"/>
          <w:sz w:val="32"/>
          <w:szCs w:val="32"/>
          <w:lang w:val="zh-CN" w:eastAsia="zh-CN"/>
        </w:rPr>
        <w:t>牵头单位：</w:t>
      </w:r>
      <w:r>
        <w:rPr>
          <w:rFonts w:hint="eastAsia" w:ascii="仿宋_GB2312" w:hAnsi="宋体" w:eastAsia="仿宋_GB2312" w:cs="方正仿宋_GBK"/>
          <w:b w:val="0"/>
          <w:bCs w:val="0"/>
          <w:color w:val="000000"/>
          <w:sz w:val="32"/>
          <w:szCs w:val="32"/>
          <w:lang w:val="en-US" w:eastAsia="zh-CN"/>
        </w:rPr>
        <w:t>农业农村局</w:t>
      </w:r>
    </w:p>
    <w:p>
      <w:pPr>
        <w:pStyle w:val="6"/>
        <w:widowControl w:val="0"/>
        <w:wordWrap/>
        <w:adjustRightInd/>
        <w:snapToGrid/>
        <w:spacing w:after="0" w:line="560" w:lineRule="exact"/>
        <w:ind w:left="0" w:leftChars="0" w:right="0" w:firstLine="642" w:firstLineChars="0"/>
        <w:textAlignment w:val="auto"/>
        <w:rPr>
          <w:rFonts w:hint="eastAsia" w:ascii="仿宋_GB2312" w:hAnsi="宋体" w:eastAsia="仿宋_GB2312" w:cs="方正仿宋_GBK"/>
          <w:b/>
          <w:bCs/>
          <w:color w:val="000000"/>
          <w:sz w:val="32"/>
          <w:szCs w:val="32"/>
          <w:lang w:val="en-US" w:eastAsia="zh-CN"/>
        </w:rPr>
      </w:pPr>
      <w:r>
        <w:rPr>
          <w:rFonts w:hint="eastAsia" w:ascii="仿宋_GB2312" w:hAnsi="宋体" w:eastAsia="仿宋_GB2312" w:cs="方正仿宋_GBK"/>
          <w:b/>
          <w:bCs/>
          <w:color w:val="000000"/>
          <w:sz w:val="32"/>
          <w:szCs w:val="32"/>
          <w:lang w:val="en-US" w:eastAsia="zh-CN"/>
        </w:rPr>
        <w:t>配合单位：</w:t>
      </w:r>
      <w:r>
        <w:rPr>
          <w:rFonts w:hint="eastAsia" w:ascii="仿宋_GB2312" w:hAnsi="宋体" w:eastAsia="仿宋_GB2312" w:cs="方正仿宋_GBK"/>
          <w:b w:val="0"/>
          <w:bCs w:val="0"/>
          <w:color w:val="000000"/>
          <w:sz w:val="32"/>
          <w:szCs w:val="32"/>
          <w:lang w:val="en-US" w:eastAsia="zh-CN"/>
        </w:rPr>
        <w:t>自然资源局、水务局</w:t>
      </w:r>
      <w:r>
        <w:rPr>
          <w:rFonts w:hint="eastAsia" w:ascii="仿宋_GB2312" w:hAnsi="宋体" w:cs="方正仿宋_GBK"/>
          <w:b w:val="0"/>
          <w:bCs w:val="0"/>
          <w:color w:val="000000"/>
          <w:sz w:val="32"/>
          <w:szCs w:val="32"/>
          <w:lang w:val="en-US" w:eastAsia="zh-CN"/>
        </w:rPr>
        <w:t>、</w:t>
      </w:r>
      <w:r>
        <w:rPr>
          <w:rFonts w:hint="eastAsia" w:ascii="仿宋_GB2312" w:hAnsi="仿宋_GB2312" w:eastAsia="仿宋_GB2312" w:cs="仿宋_GB2312"/>
          <w:color w:val="000000"/>
          <w:sz w:val="32"/>
          <w:szCs w:val="32"/>
          <w:lang w:val="en-US" w:eastAsia="zh-CN"/>
        </w:rPr>
        <w:t>各乡镇（场）</w:t>
      </w:r>
    </w:p>
    <w:p>
      <w:pPr>
        <w:widowControl w:val="0"/>
        <w:wordWrap/>
        <w:adjustRightInd/>
        <w:snapToGrid/>
        <w:spacing w:line="560" w:lineRule="exact"/>
        <w:ind w:right="0"/>
        <w:textAlignment w:val="auto"/>
        <w:rPr>
          <w:rFonts w:ascii="楷体_GB2312" w:hAnsi="楷体_GB2312" w:eastAsia="楷体_GB2312" w:cs="楷体_GB2312"/>
          <w:b/>
          <w:color w:val="000000"/>
          <w:kern w:val="0"/>
          <w:sz w:val="32"/>
          <w:szCs w:val="32"/>
        </w:rPr>
      </w:pPr>
      <w:r>
        <w:rPr>
          <w:rFonts w:hint="eastAsia" w:ascii="仿宋_GB2312" w:hAnsi="仿宋_GB2312" w:eastAsia="仿宋_GB2312" w:cs="仿宋_GB2312"/>
          <w:b/>
          <w:color w:val="000000"/>
          <w:kern w:val="0"/>
          <w:sz w:val="32"/>
          <w:szCs w:val="32"/>
        </w:rPr>
        <w:t xml:space="preserve">    </w:t>
      </w:r>
      <w:r>
        <w:rPr>
          <w:rFonts w:hint="eastAsia" w:ascii="楷体_GB2312" w:hAnsi="楷体_GB2312" w:eastAsia="楷体_GB2312" w:cs="楷体_GB2312"/>
          <w:b/>
          <w:color w:val="000000"/>
          <w:kern w:val="0"/>
          <w:sz w:val="32"/>
          <w:szCs w:val="32"/>
        </w:rPr>
        <w:t>（四）有效防控种植业污染</w:t>
      </w:r>
      <w:r>
        <w:rPr>
          <w:rFonts w:hint="eastAsia" w:ascii="楷体_GB2312" w:hAnsi="楷体_GB2312" w:eastAsia="楷体_GB2312" w:cs="楷体_GB2312"/>
          <w:b/>
          <w:color w:val="000000"/>
          <w:kern w:val="0"/>
          <w:sz w:val="32"/>
          <w:szCs w:val="32"/>
          <w:lang w:eastAsia="zh-CN"/>
        </w:rPr>
        <w:t>。</w:t>
      </w:r>
    </w:p>
    <w:p>
      <w:pPr>
        <w:widowControl w:val="0"/>
        <w:numPr>
          <w:ilvl w:val="0"/>
          <w:numId w:val="0"/>
        </w:numPr>
        <w:wordWrap/>
        <w:adjustRightInd/>
        <w:snapToGrid/>
        <w:spacing w:line="560" w:lineRule="exact"/>
        <w:ind w:right="0" w:firstLine="643" w:firstLineChars="200"/>
        <w:textAlignment w:val="auto"/>
        <w:rPr>
          <w:rFonts w:hint="eastAsia" w:ascii="仿宋_GB2312" w:hAnsi="仿宋_GB2312" w:eastAsia="仿宋_GB2312" w:cs="仿宋_GB2312"/>
          <w:bCs/>
          <w:color w:val="000000"/>
          <w:sz w:val="32"/>
          <w:szCs w:val="32"/>
          <w:lang w:val="zh-CN"/>
        </w:rPr>
      </w:pPr>
      <w:r>
        <w:rPr>
          <w:rFonts w:hint="eastAsia" w:ascii="仿宋_GB2312" w:hAnsi="仿宋_GB2312" w:eastAsia="仿宋_GB2312" w:cs="仿宋_GB2312"/>
          <w:b/>
          <w:color w:val="000000"/>
          <w:sz w:val="32"/>
          <w:szCs w:val="32"/>
          <w:lang w:val="en-US" w:eastAsia="zh-CN"/>
        </w:rPr>
        <w:t>13.</w:t>
      </w:r>
      <w:r>
        <w:rPr>
          <w:rFonts w:hint="eastAsia" w:ascii="仿宋_GB2312" w:hAnsi="仿宋_GB2312" w:eastAsia="仿宋_GB2312" w:cs="仿宋_GB2312"/>
          <w:b/>
          <w:color w:val="000000"/>
          <w:sz w:val="32"/>
          <w:szCs w:val="32"/>
        </w:rPr>
        <w:t>持续推进化肥、农药减量增效。</w:t>
      </w:r>
      <w:r>
        <w:rPr>
          <w:rFonts w:hint="eastAsia" w:ascii="仿宋_GB2312" w:hAnsi="仿宋_GB2312" w:eastAsia="仿宋_GB2312" w:cs="仿宋_GB2312"/>
          <w:bCs/>
          <w:color w:val="000000"/>
          <w:sz w:val="32"/>
          <w:szCs w:val="32"/>
        </w:rPr>
        <w:t>严格管理化肥、农药等投入品使用量，扩大测土配方施肥工程,加快推广水肥一体化施肥技术，推进有机肥、缓释肥利用，实现化肥农药零增长。大力推广</w:t>
      </w:r>
      <w:r>
        <w:rPr>
          <w:rFonts w:hint="eastAsia" w:ascii="仿宋_GB2312" w:hAnsi="仿宋_GB2312" w:eastAsia="仿宋_GB2312" w:cs="仿宋_GB2312"/>
          <w:bCs/>
          <w:color w:val="000000"/>
          <w:sz w:val="32"/>
          <w:szCs w:val="32"/>
          <w:lang w:eastAsia="zh-CN"/>
        </w:rPr>
        <w:t>有</w:t>
      </w:r>
      <w:r>
        <w:rPr>
          <w:rFonts w:hint="eastAsia" w:ascii="仿宋_GB2312" w:hAnsi="仿宋_GB2312" w:eastAsia="仿宋_GB2312" w:cs="仿宋_GB2312"/>
          <w:bCs/>
          <w:color w:val="000000"/>
          <w:sz w:val="32"/>
          <w:szCs w:val="32"/>
        </w:rPr>
        <w:t>机肥料替代化肥技术，加强种养沼（气）对接，扩大沼肥应用。</w:t>
      </w:r>
      <w:r>
        <w:rPr>
          <w:rFonts w:hint="eastAsia" w:ascii="仿宋_GB2312" w:hAnsi="仿宋_GB2312" w:eastAsia="仿宋_GB2312" w:cs="仿宋_GB2312"/>
          <w:bCs/>
          <w:color w:val="000000"/>
          <w:sz w:val="32"/>
          <w:szCs w:val="32"/>
          <w:lang w:val="zh-CN"/>
        </w:rPr>
        <w:t>加强农作物病虫害监测预报工作，健全病虫监测预警体系，完善农作物有害生物信息监控系统，中短期预报准确率达到</w:t>
      </w:r>
      <w:r>
        <w:rPr>
          <w:rFonts w:hint="eastAsia" w:ascii="仿宋_GB2312" w:hAnsi="仿宋_GB2312" w:eastAsia="仿宋_GB2312" w:cs="仿宋_GB2312"/>
          <w:bCs/>
          <w:color w:val="000000"/>
          <w:sz w:val="32"/>
          <w:szCs w:val="32"/>
        </w:rPr>
        <w:t>95%以上。指导科学精准施药，减少不合理用药，</w:t>
      </w:r>
      <w:r>
        <w:rPr>
          <w:rFonts w:hint="eastAsia" w:ascii="仿宋_GB2312" w:hAnsi="仿宋_GB2312" w:eastAsia="仿宋_GB2312" w:cs="仿宋_GB2312"/>
          <w:bCs/>
          <w:color w:val="000000"/>
          <w:sz w:val="32"/>
          <w:szCs w:val="32"/>
          <w:lang w:val="zh-CN"/>
        </w:rPr>
        <w:t>严格执行农药投入品质量标准，示范推广高效、低毒、低残留农药，禁止使用高毒高残留农药</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zh-CN"/>
        </w:rPr>
        <w:t>提高农药利用率，</w:t>
      </w:r>
      <w:r>
        <w:rPr>
          <w:rFonts w:hint="eastAsia" w:ascii="仿宋_GB2312" w:hAnsi="仿宋_GB2312" w:eastAsia="仿宋_GB2312" w:cs="仿宋_GB2312"/>
          <w:bCs/>
          <w:color w:val="000000"/>
          <w:sz w:val="32"/>
          <w:szCs w:val="32"/>
        </w:rPr>
        <w:t>大力推广植保无人机等先进、高效植保机械，开展专业化统防统治</w:t>
      </w:r>
      <w:r>
        <w:rPr>
          <w:rFonts w:hint="eastAsia" w:ascii="仿宋_GB2312" w:hAnsi="仿宋_GB2312" w:eastAsia="仿宋_GB2312" w:cs="仿宋_GB2312"/>
          <w:bCs/>
          <w:color w:val="000000"/>
          <w:sz w:val="32"/>
          <w:szCs w:val="32"/>
          <w:lang w:val="zh-CN"/>
        </w:rPr>
        <w:t>，主要农作物绿色防控覆盖率和主要农作物病虫害专业化统防统治覆盖率均达到</w:t>
      </w:r>
      <w:r>
        <w:rPr>
          <w:rFonts w:hint="eastAsia" w:ascii="仿宋_GB2312" w:hAnsi="仿宋_GB2312" w:eastAsia="仿宋_GB2312" w:cs="仿宋_GB2312"/>
          <w:bCs/>
          <w:color w:val="000000"/>
          <w:sz w:val="32"/>
          <w:szCs w:val="32"/>
        </w:rPr>
        <w:t>40</w:t>
      </w:r>
      <w:r>
        <w:rPr>
          <w:rFonts w:hint="eastAsia" w:ascii="仿宋_GB2312" w:hAnsi="仿宋_GB2312" w:eastAsia="仿宋_GB2312" w:cs="仿宋_GB2312"/>
          <w:bCs/>
          <w:color w:val="000000"/>
          <w:sz w:val="32"/>
          <w:szCs w:val="32"/>
          <w:lang w:val="zh-CN"/>
        </w:rPr>
        <w:t>%以上。</w:t>
      </w:r>
    </w:p>
    <w:p>
      <w:pPr>
        <w:widowControl w:val="0"/>
        <w:wordWrap/>
        <w:adjustRightInd/>
        <w:snapToGrid/>
        <w:spacing w:line="560" w:lineRule="exact"/>
        <w:ind w:right="0" w:firstLine="643" w:firstLineChars="200"/>
        <w:textAlignment w:val="auto"/>
        <w:rPr>
          <w:rFonts w:hint="eastAsia" w:ascii="仿宋_GB2312" w:hAnsi="宋体" w:eastAsia="仿宋_GB2312" w:cs="方正仿宋_GBK"/>
          <w:b w:val="0"/>
          <w:bCs w:val="0"/>
          <w:color w:val="000000"/>
          <w:sz w:val="32"/>
          <w:szCs w:val="32"/>
          <w:lang w:val="en-US" w:eastAsia="zh-CN"/>
        </w:rPr>
      </w:pPr>
      <w:r>
        <w:rPr>
          <w:rFonts w:hint="eastAsia" w:ascii="仿宋_GB2312" w:hAnsi="宋体" w:eastAsia="仿宋_GB2312" w:cs="方正仿宋_GBK"/>
          <w:b/>
          <w:bCs/>
          <w:color w:val="000000"/>
          <w:sz w:val="32"/>
          <w:szCs w:val="32"/>
          <w:lang w:val="zh-CN" w:eastAsia="zh-CN"/>
        </w:rPr>
        <w:t>牵头单位：</w:t>
      </w:r>
      <w:r>
        <w:rPr>
          <w:rFonts w:hint="eastAsia" w:ascii="仿宋_GB2312" w:hAnsi="宋体" w:eastAsia="仿宋_GB2312" w:cs="方正仿宋_GBK"/>
          <w:b w:val="0"/>
          <w:bCs w:val="0"/>
          <w:color w:val="000000"/>
          <w:sz w:val="32"/>
          <w:szCs w:val="32"/>
          <w:lang w:val="en-US" w:eastAsia="zh-CN"/>
        </w:rPr>
        <w:t>农业农村局</w:t>
      </w:r>
    </w:p>
    <w:p>
      <w:pPr>
        <w:pStyle w:val="6"/>
        <w:widowControl w:val="0"/>
        <w:wordWrap/>
        <w:adjustRightInd/>
        <w:snapToGrid/>
        <w:spacing w:after="0" w:line="560" w:lineRule="exact"/>
        <w:ind w:left="0" w:leftChars="0" w:right="0" w:firstLine="642" w:firstLineChars="0"/>
        <w:textAlignment w:val="auto"/>
        <w:rPr>
          <w:rFonts w:hint="eastAsia" w:ascii="仿宋_GB2312" w:hAnsi="宋体" w:eastAsia="仿宋_GB2312" w:cs="方正仿宋_GBK"/>
          <w:b w:val="0"/>
          <w:bCs w:val="0"/>
          <w:color w:val="000000"/>
          <w:sz w:val="32"/>
          <w:szCs w:val="32"/>
          <w:lang w:val="en-US" w:eastAsia="zh-CN"/>
        </w:rPr>
      </w:pPr>
      <w:r>
        <w:rPr>
          <w:rFonts w:hint="eastAsia" w:ascii="仿宋_GB2312" w:hAnsi="宋体" w:eastAsia="仿宋_GB2312" w:cs="方正仿宋_GBK"/>
          <w:b/>
          <w:bCs/>
          <w:color w:val="000000"/>
          <w:sz w:val="32"/>
          <w:szCs w:val="32"/>
          <w:lang w:val="en-US" w:eastAsia="zh-CN"/>
        </w:rPr>
        <w:t>配合单位：</w:t>
      </w:r>
      <w:r>
        <w:rPr>
          <w:rFonts w:hint="eastAsia" w:ascii="仿宋_GB2312" w:hAnsi="仿宋_GB2312" w:eastAsia="仿宋_GB2312" w:cs="仿宋_GB2312"/>
          <w:color w:val="000000"/>
          <w:sz w:val="32"/>
          <w:szCs w:val="32"/>
          <w:lang w:val="en-US" w:eastAsia="zh-CN"/>
        </w:rPr>
        <w:t>各乡镇（场）</w:t>
      </w:r>
    </w:p>
    <w:p>
      <w:pPr>
        <w:widowControl w:val="0"/>
        <w:wordWrap/>
        <w:adjustRightInd/>
        <w:snapToGrid/>
        <w:spacing w:line="560" w:lineRule="exact"/>
        <w:ind w:right="0" w:firstLine="640"/>
        <w:textAlignment w:val="auto"/>
        <w:rPr>
          <w:rFonts w:hint="eastAsia" w:ascii="仿宋_GB2312" w:hAnsi="仿宋_GB2312" w:eastAsia="仿宋_GB2312" w:cs="仿宋_GB2312"/>
          <w:bCs/>
          <w:color w:val="000000"/>
          <w:sz w:val="32"/>
          <w:szCs w:val="32"/>
          <w:lang w:val="zh-CN"/>
        </w:rPr>
      </w:pPr>
      <w:r>
        <w:rPr>
          <w:rFonts w:hint="eastAsia" w:ascii="仿宋_GB2312" w:hAnsi="仿宋_GB2312" w:eastAsia="仿宋_GB2312" w:cs="仿宋_GB2312"/>
          <w:b/>
          <w:color w:val="000000"/>
          <w:sz w:val="32"/>
          <w:szCs w:val="32"/>
          <w:lang w:val="en-US" w:eastAsia="zh-CN"/>
        </w:rPr>
        <w:t>14</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b/>
          <w:color w:val="000000"/>
          <w:sz w:val="32"/>
          <w:szCs w:val="32"/>
          <w:lang w:val="zh-CN"/>
        </w:rPr>
        <w:t>加强秸秆、农膜废弃物资源化利用。</w:t>
      </w:r>
      <w:r>
        <w:rPr>
          <w:rFonts w:hint="eastAsia" w:ascii="仿宋_GB2312" w:hAnsi="仿宋_GB2312" w:eastAsia="仿宋_GB2312" w:cs="仿宋_GB2312"/>
          <w:bCs/>
          <w:color w:val="000000"/>
          <w:sz w:val="32"/>
          <w:szCs w:val="32"/>
          <w:lang w:val="zh-CN"/>
        </w:rPr>
        <w:t>积极推进秸秆综合利用，加强水稻、玉米等主要农作物秸秆综合利用政策支持，示范推广综合利用关键技术，促进秸秆饲料化、肥料化、能源化、原料化利用。加强农膜污染治理及资源化利用，严禁生产和使用厚度0.01mm以下地膜，从源头确保农田残膜可回收,建立残膜回收加工机制。开展农用废弃地膜的回收加工及再利用，逐步形成布局合理、运行有效的农用废弃地膜回收加工一体化模式。加大残膜治理示范力度，积极开展降解膜应用配套技术、高强度地膜替代产品、地膜回收机械、地膜综合利用技术等试验示范活动，力求取得残膜治理技术突破。</w:t>
      </w:r>
    </w:p>
    <w:p>
      <w:pPr>
        <w:widowControl w:val="0"/>
        <w:wordWrap/>
        <w:adjustRightInd/>
        <w:snapToGrid/>
        <w:spacing w:line="560" w:lineRule="exact"/>
        <w:ind w:right="0" w:firstLine="643" w:firstLineChars="200"/>
        <w:textAlignment w:val="auto"/>
        <w:rPr>
          <w:rFonts w:hint="eastAsia" w:ascii="仿宋_GB2312" w:hAnsi="宋体" w:eastAsia="仿宋_GB2312" w:cs="方正仿宋_GBK"/>
          <w:b w:val="0"/>
          <w:bCs w:val="0"/>
          <w:color w:val="000000"/>
          <w:sz w:val="32"/>
          <w:szCs w:val="32"/>
          <w:lang w:val="en-US" w:eastAsia="zh-CN"/>
        </w:rPr>
      </w:pPr>
      <w:r>
        <w:rPr>
          <w:rFonts w:hint="eastAsia" w:ascii="仿宋_GB2312" w:hAnsi="宋体" w:eastAsia="仿宋_GB2312" w:cs="方正仿宋_GBK"/>
          <w:b/>
          <w:bCs/>
          <w:color w:val="000000"/>
          <w:sz w:val="32"/>
          <w:szCs w:val="32"/>
          <w:lang w:val="zh-CN" w:eastAsia="zh-CN"/>
        </w:rPr>
        <w:t>牵头单位：</w:t>
      </w:r>
      <w:r>
        <w:rPr>
          <w:rFonts w:hint="eastAsia" w:ascii="仿宋_GB2312" w:hAnsi="宋体" w:eastAsia="仿宋_GB2312" w:cs="方正仿宋_GBK"/>
          <w:b w:val="0"/>
          <w:bCs w:val="0"/>
          <w:color w:val="000000"/>
          <w:sz w:val="32"/>
          <w:szCs w:val="32"/>
          <w:lang w:val="en-US" w:eastAsia="zh-CN"/>
        </w:rPr>
        <w:t>农业农村局</w:t>
      </w:r>
    </w:p>
    <w:p>
      <w:pPr>
        <w:widowControl w:val="0"/>
        <w:wordWrap/>
        <w:adjustRightInd/>
        <w:snapToGrid/>
        <w:spacing w:line="560" w:lineRule="exact"/>
        <w:ind w:right="0" w:firstLine="643" w:firstLineChars="200"/>
        <w:textAlignment w:val="auto"/>
        <w:rPr>
          <w:rFonts w:hint="eastAsia" w:ascii="仿宋_GB2312" w:hAnsi="宋体" w:eastAsia="仿宋_GB2312" w:cs="方正仿宋_GBK"/>
          <w:b w:val="0"/>
          <w:bCs w:val="0"/>
          <w:color w:val="000000"/>
          <w:sz w:val="32"/>
          <w:szCs w:val="32"/>
          <w:lang w:val="en-US" w:eastAsia="zh-CN"/>
        </w:rPr>
      </w:pPr>
      <w:r>
        <w:rPr>
          <w:rFonts w:hint="eastAsia" w:ascii="仿宋_GB2312" w:hAnsi="宋体" w:eastAsia="仿宋_GB2312" w:cs="方正仿宋_GBK"/>
          <w:b/>
          <w:bCs/>
          <w:color w:val="000000"/>
          <w:sz w:val="32"/>
          <w:szCs w:val="32"/>
          <w:lang w:val="en-US" w:eastAsia="zh-CN"/>
        </w:rPr>
        <w:t>配合单位：</w:t>
      </w:r>
      <w:r>
        <w:rPr>
          <w:rFonts w:hint="eastAsia" w:ascii="仿宋_GB2312" w:hAnsi="宋体" w:eastAsia="仿宋_GB2312" w:cs="方正仿宋_GBK"/>
          <w:b w:val="0"/>
          <w:bCs w:val="0"/>
          <w:color w:val="000000"/>
          <w:sz w:val="32"/>
          <w:szCs w:val="32"/>
          <w:lang w:val="en-US" w:eastAsia="zh-CN"/>
        </w:rPr>
        <w:t>银川市生态环境局贺兰分局、财政局、发改局、</w:t>
      </w:r>
    </w:p>
    <w:p>
      <w:pPr>
        <w:widowControl w:val="0"/>
        <w:wordWrap/>
        <w:adjustRightInd/>
        <w:snapToGrid/>
        <w:spacing w:line="560" w:lineRule="exact"/>
        <w:ind w:right="0" w:firstLine="2240" w:firstLineChars="700"/>
        <w:textAlignment w:val="auto"/>
        <w:rPr>
          <w:rFonts w:hint="eastAsia" w:ascii="仿宋_GB2312" w:hAnsi="宋体" w:eastAsia="仿宋_GB2312" w:cs="方正仿宋_GBK"/>
          <w:b/>
          <w:bCs/>
          <w:color w:val="000000"/>
          <w:sz w:val="32"/>
          <w:szCs w:val="32"/>
          <w:lang w:val="en-US" w:eastAsia="zh-CN"/>
        </w:rPr>
      </w:pPr>
      <w:r>
        <w:rPr>
          <w:rFonts w:hint="eastAsia" w:ascii="仿宋_GB2312" w:hAnsi="仿宋_GB2312" w:eastAsia="仿宋_GB2312" w:cs="仿宋_GB2312"/>
          <w:color w:val="000000"/>
          <w:sz w:val="32"/>
          <w:szCs w:val="32"/>
          <w:lang w:val="en-US" w:eastAsia="zh-CN"/>
        </w:rPr>
        <w:t>各乡镇（场）</w:t>
      </w:r>
    </w:p>
    <w:p>
      <w:pPr>
        <w:widowControl w:val="0"/>
        <w:numPr>
          <w:ilvl w:val="0"/>
          <w:numId w:val="0"/>
        </w:numPr>
        <w:wordWrap/>
        <w:adjustRightInd/>
        <w:snapToGrid/>
        <w:spacing w:line="560" w:lineRule="exact"/>
        <w:ind w:right="0" w:firstLine="643" w:firstLineChars="200"/>
        <w:textAlignment w:val="auto"/>
        <w:rPr>
          <w:rFonts w:hint="eastAsia" w:ascii="仿宋_GB2312" w:hAnsi="仿宋_GB2312" w:eastAsia="仿宋_GB2312" w:cs="仿宋_GB2312"/>
          <w:bCs/>
          <w:color w:val="000000"/>
          <w:sz w:val="32"/>
          <w:szCs w:val="32"/>
          <w:lang w:val="zh-CN"/>
        </w:rPr>
      </w:pPr>
      <w:r>
        <w:rPr>
          <w:rFonts w:hint="eastAsia" w:ascii="仿宋_GB2312" w:hAnsi="仿宋_GB2312" w:eastAsia="仿宋_GB2312" w:cs="仿宋_GB2312"/>
          <w:b/>
          <w:color w:val="000000"/>
          <w:sz w:val="32"/>
          <w:szCs w:val="32"/>
          <w:lang w:val="en-US" w:eastAsia="zh-CN"/>
        </w:rPr>
        <w:t>15.</w:t>
      </w:r>
      <w:r>
        <w:rPr>
          <w:rFonts w:hint="eastAsia" w:ascii="仿宋_GB2312" w:hAnsi="仿宋_GB2312" w:eastAsia="仿宋_GB2312" w:cs="仿宋_GB2312"/>
          <w:b/>
          <w:color w:val="000000"/>
          <w:sz w:val="32"/>
          <w:szCs w:val="32"/>
          <w:lang w:val="zh-CN"/>
        </w:rPr>
        <w:t>大力推进种植产业模式生态化。</w:t>
      </w:r>
      <w:r>
        <w:rPr>
          <w:rFonts w:hint="eastAsia" w:ascii="仿宋_GB2312" w:hAnsi="仿宋_GB2312" w:eastAsia="仿宋_GB2312" w:cs="仿宋_GB2312"/>
          <w:bCs/>
          <w:color w:val="000000"/>
          <w:sz w:val="32"/>
          <w:szCs w:val="32"/>
          <w:lang w:val="zh-CN"/>
        </w:rPr>
        <w:t>大力发展节水农业，实施节水增效战略，积极选育和推广抗旱节水、养分高效、抗病农作物新品种。贯彻节水优先，适度压减高耗水籽粒玉米种植面积，扩大粮饲兼用型玉米、苜蓿、小杂粮等特色耐旱作物种植；加强节水灌溉工程建设和节水改造，完善配套喷灌、滴灌等基础设施，提高建设标准，加大水肥一体化推广力度，推进规模化高效节水灌溉。开展种植业模式化生态化试点，推进国家级农业可持续发展试验示范区创建，大力发展绿色有机农产品。推进一二三产业融合发展，发挥生态资源优势，发展休闲农业和乡村旅游。</w:t>
      </w:r>
    </w:p>
    <w:p>
      <w:pPr>
        <w:widowControl w:val="0"/>
        <w:wordWrap/>
        <w:adjustRightInd/>
        <w:snapToGrid/>
        <w:spacing w:line="560" w:lineRule="exact"/>
        <w:ind w:right="0" w:firstLine="642"/>
        <w:textAlignment w:val="auto"/>
        <w:rPr>
          <w:rFonts w:hint="eastAsia"/>
          <w:color w:val="000000"/>
          <w:lang w:val="en-US" w:eastAsia="zh-CN"/>
        </w:rPr>
      </w:pPr>
      <w:r>
        <w:rPr>
          <w:rFonts w:hint="eastAsia" w:ascii="仿宋_GB2312" w:hAnsi="宋体" w:eastAsia="仿宋_GB2312" w:cs="方正仿宋_GBK"/>
          <w:b/>
          <w:bCs/>
          <w:color w:val="000000"/>
          <w:sz w:val="32"/>
          <w:szCs w:val="32"/>
          <w:lang w:val="zh-CN" w:eastAsia="zh-CN"/>
        </w:rPr>
        <w:t>牵头单位：</w:t>
      </w:r>
      <w:r>
        <w:rPr>
          <w:rFonts w:hint="eastAsia" w:ascii="仿宋_GB2312" w:hAnsi="宋体" w:eastAsia="仿宋_GB2312" w:cs="方正仿宋_GBK"/>
          <w:color w:val="000000"/>
          <w:sz w:val="32"/>
          <w:szCs w:val="32"/>
          <w:lang w:val="en-US" w:eastAsia="zh-CN"/>
        </w:rPr>
        <w:t>农业农村局</w:t>
      </w:r>
    </w:p>
    <w:p>
      <w:pPr>
        <w:pStyle w:val="6"/>
        <w:widowControl w:val="0"/>
        <w:wordWrap/>
        <w:adjustRightInd/>
        <w:snapToGrid/>
        <w:spacing w:after="0" w:line="560" w:lineRule="exact"/>
        <w:ind w:left="0" w:leftChars="0" w:right="0" w:firstLine="642" w:firstLineChars="0"/>
        <w:textAlignment w:val="auto"/>
        <w:rPr>
          <w:rFonts w:hint="eastAsia" w:ascii="仿宋_GB2312" w:hAnsi="宋体" w:eastAsia="仿宋_GB2312" w:cs="方正仿宋_GBK"/>
          <w:color w:val="000000"/>
          <w:sz w:val="32"/>
          <w:szCs w:val="32"/>
          <w:lang w:val="en-US" w:eastAsia="zh-CN"/>
        </w:rPr>
      </w:pPr>
      <w:r>
        <w:rPr>
          <w:rFonts w:hint="eastAsia" w:ascii="仿宋_GB2312" w:hAnsi="宋体" w:eastAsia="仿宋_GB2312" w:cs="方正仿宋_GBK"/>
          <w:b/>
          <w:bCs/>
          <w:color w:val="000000"/>
          <w:sz w:val="32"/>
          <w:szCs w:val="32"/>
          <w:lang w:val="en-US" w:eastAsia="zh-CN"/>
        </w:rPr>
        <w:t>配合单位：</w:t>
      </w:r>
      <w:r>
        <w:rPr>
          <w:rFonts w:hint="eastAsia" w:ascii="仿宋_GB2312" w:hAnsi="宋体" w:eastAsia="仿宋_GB2312" w:cs="方正仿宋_GBK"/>
          <w:color w:val="000000"/>
          <w:sz w:val="32"/>
          <w:szCs w:val="32"/>
          <w:lang w:val="en-US" w:eastAsia="zh-CN"/>
        </w:rPr>
        <w:t>水务局、</w:t>
      </w:r>
      <w:r>
        <w:rPr>
          <w:rFonts w:hint="eastAsia" w:ascii="仿宋_GB2312" w:hAnsi="仿宋_GB2312" w:eastAsia="仿宋_GB2312" w:cs="仿宋_GB2312"/>
          <w:color w:val="000000"/>
          <w:sz w:val="32"/>
          <w:szCs w:val="32"/>
          <w:lang w:val="en-US" w:eastAsia="zh-CN"/>
        </w:rPr>
        <w:t>各乡镇（场）</w:t>
      </w:r>
    </w:p>
    <w:p>
      <w:pPr>
        <w:widowControl w:val="0"/>
        <w:numPr>
          <w:ilvl w:val="0"/>
          <w:numId w:val="0"/>
        </w:numPr>
        <w:wordWrap/>
        <w:adjustRightInd/>
        <w:snapToGrid/>
        <w:spacing w:line="560" w:lineRule="exact"/>
        <w:ind w:right="0"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lang w:val="en-US" w:eastAsia="zh-CN"/>
        </w:rPr>
        <w:t>16.</w:t>
      </w:r>
      <w:r>
        <w:rPr>
          <w:rFonts w:hint="eastAsia" w:ascii="仿宋_GB2312" w:hAnsi="仿宋_GB2312" w:eastAsia="仿宋_GB2312" w:cs="仿宋_GB2312"/>
          <w:b/>
          <w:color w:val="000000"/>
          <w:kern w:val="0"/>
          <w:sz w:val="32"/>
          <w:szCs w:val="32"/>
        </w:rPr>
        <w:t>开展涉镉等重金属重点行业企业排查整治。</w:t>
      </w:r>
      <w:r>
        <w:rPr>
          <w:rFonts w:hint="eastAsia" w:ascii="仿宋_GB2312" w:hAnsi="仿宋_GB2312" w:eastAsia="仿宋_GB2312" w:cs="仿宋_GB2312"/>
          <w:color w:val="000000"/>
          <w:sz w:val="32"/>
          <w:szCs w:val="32"/>
        </w:rPr>
        <w:t>以铅</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锌、铜等有色金属采选及冶炼区域为重点，聚焦涉镉等重金属重点行业企业，开展排查整治行动，切断污染物进入农田途径。划定严格管控类耕地，制定环境风险管控方案和措施，降低农产品镉等重金属超标风险。</w:t>
      </w:r>
    </w:p>
    <w:p>
      <w:pPr>
        <w:widowControl w:val="0"/>
        <w:wordWrap/>
        <w:adjustRightInd/>
        <w:snapToGrid/>
        <w:spacing w:line="560" w:lineRule="exact"/>
        <w:ind w:right="0" w:firstLine="642"/>
        <w:textAlignment w:val="auto"/>
        <w:rPr>
          <w:rFonts w:hint="eastAsia" w:ascii="仿宋_GB2312" w:hAnsi="宋体" w:eastAsia="仿宋_GB2312" w:cs="方正仿宋_GBK"/>
          <w:b w:val="0"/>
          <w:bCs w:val="0"/>
          <w:color w:val="000000"/>
          <w:sz w:val="32"/>
          <w:szCs w:val="32"/>
          <w:lang w:val="en-US" w:eastAsia="zh-CN"/>
        </w:rPr>
      </w:pPr>
      <w:r>
        <w:rPr>
          <w:rFonts w:hint="eastAsia" w:ascii="仿宋_GB2312" w:hAnsi="宋体" w:eastAsia="仿宋_GB2312" w:cs="方正仿宋_GBK"/>
          <w:b/>
          <w:bCs/>
          <w:color w:val="000000"/>
          <w:sz w:val="32"/>
          <w:szCs w:val="32"/>
          <w:lang w:val="zh-CN" w:eastAsia="zh-CN"/>
        </w:rPr>
        <w:t>牵头单位：</w:t>
      </w:r>
      <w:r>
        <w:rPr>
          <w:rFonts w:hint="eastAsia" w:ascii="仿宋_GB2312" w:hAnsi="宋体" w:eastAsia="仿宋_GB2312" w:cs="方正仿宋_GBK"/>
          <w:b w:val="0"/>
          <w:bCs w:val="0"/>
          <w:color w:val="000000"/>
          <w:sz w:val="32"/>
          <w:szCs w:val="32"/>
          <w:lang w:val="zh-CN" w:eastAsia="zh-CN"/>
        </w:rPr>
        <w:t>银川市生态环境局贺兰分局</w:t>
      </w:r>
    </w:p>
    <w:p>
      <w:pPr>
        <w:widowControl w:val="0"/>
        <w:wordWrap/>
        <w:adjustRightInd/>
        <w:snapToGrid/>
        <w:spacing w:line="560" w:lineRule="exact"/>
        <w:ind w:right="0" w:firstLine="642"/>
        <w:textAlignment w:val="auto"/>
        <w:rPr>
          <w:rFonts w:hint="eastAsia" w:ascii="仿宋_GB2312" w:hAnsi="宋体" w:eastAsia="仿宋_GB2312" w:cs="方正仿宋_GBK"/>
          <w:b w:val="0"/>
          <w:bCs w:val="0"/>
          <w:color w:val="000000"/>
          <w:sz w:val="32"/>
          <w:szCs w:val="32"/>
          <w:lang w:val="en-US" w:eastAsia="zh-CN"/>
        </w:rPr>
      </w:pPr>
      <w:r>
        <w:rPr>
          <w:rFonts w:hint="eastAsia" w:ascii="仿宋_GB2312" w:hAnsi="宋体" w:eastAsia="仿宋_GB2312" w:cs="方正仿宋_GBK"/>
          <w:b/>
          <w:bCs/>
          <w:color w:val="000000"/>
          <w:sz w:val="32"/>
          <w:szCs w:val="32"/>
          <w:lang w:val="en-US" w:eastAsia="zh-CN"/>
        </w:rPr>
        <w:t>配合单位：</w:t>
      </w:r>
      <w:r>
        <w:rPr>
          <w:rFonts w:hint="eastAsia" w:ascii="仿宋_GB2312" w:hAnsi="宋体" w:eastAsia="仿宋_GB2312" w:cs="方正仿宋_GBK"/>
          <w:b w:val="0"/>
          <w:bCs w:val="0"/>
          <w:color w:val="000000"/>
          <w:sz w:val="32"/>
          <w:szCs w:val="32"/>
          <w:lang w:val="zh-CN" w:eastAsia="zh-CN"/>
        </w:rPr>
        <w:t>农业农村局、</w:t>
      </w:r>
      <w:r>
        <w:rPr>
          <w:rFonts w:hint="eastAsia" w:ascii="仿宋_GB2312" w:hAnsi="宋体" w:eastAsia="仿宋_GB2312" w:cs="方正仿宋_GBK"/>
          <w:b w:val="0"/>
          <w:bCs w:val="0"/>
          <w:color w:val="000000"/>
          <w:sz w:val="32"/>
          <w:szCs w:val="32"/>
          <w:lang w:val="en-US" w:eastAsia="zh-CN"/>
        </w:rPr>
        <w:t>自然资源局、</w:t>
      </w:r>
      <w:r>
        <w:rPr>
          <w:rFonts w:hint="eastAsia" w:ascii="仿宋_GB2312" w:hAnsi="仿宋_GB2312" w:eastAsia="仿宋_GB2312" w:cs="仿宋_GB2312"/>
          <w:color w:val="000000"/>
          <w:sz w:val="32"/>
          <w:szCs w:val="32"/>
          <w:lang w:val="en-US" w:eastAsia="zh-CN"/>
        </w:rPr>
        <w:t>各乡镇（场）</w:t>
      </w:r>
    </w:p>
    <w:p>
      <w:pPr>
        <w:widowControl w:val="0"/>
        <w:wordWrap/>
        <w:adjustRightInd/>
        <w:snapToGrid/>
        <w:spacing w:line="560" w:lineRule="exact"/>
        <w:ind w:right="0" w:firstLine="642"/>
        <w:textAlignment w:val="auto"/>
        <w:rPr>
          <w:rFonts w:hint="eastAsia"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（五）完成农村黑臭水体排查工作，试点开展农村黑臭水体综合治理</w:t>
      </w:r>
      <w:r>
        <w:rPr>
          <w:rFonts w:hint="eastAsia" w:ascii="楷体_GB2312" w:hAnsi="楷体_GB2312" w:eastAsia="楷体_GB2312" w:cs="楷体_GB2312"/>
          <w:b/>
          <w:color w:val="000000"/>
          <w:kern w:val="0"/>
          <w:sz w:val="32"/>
          <w:szCs w:val="32"/>
          <w:lang w:eastAsia="zh-CN"/>
        </w:rPr>
        <w:t>。</w:t>
      </w:r>
    </w:p>
    <w:p>
      <w:pPr>
        <w:widowControl w:val="0"/>
        <w:wordWrap/>
        <w:adjustRightInd/>
        <w:snapToGrid/>
        <w:spacing w:line="560" w:lineRule="exact"/>
        <w:ind w:right="0" w:firstLine="642"/>
        <w:textAlignment w:val="auto"/>
        <w:rPr>
          <w:rFonts w:hint="eastAsia" w:ascii="Times New Roman" w:hAnsi="Times New Roman" w:eastAsia="楷体_GB2312"/>
          <w:b/>
          <w:color w:val="000000"/>
          <w:sz w:val="32"/>
          <w:szCs w:val="32"/>
        </w:rPr>
      </w:pPr>
      <w:r>
        <w:rPr>
          <w:rFonts w:hint="eastAsia" w:ascii="仿宋_GB2312" w:hAnsi="Times New Roman" w:eastAsia="仿宋_GB2312"/>
          <w:b/>
          <w:color w:val="000000"/>
          <w:sz w:val="32"/>
          <w:szCs w:val="32"/>
          <w:lang w:val="en-US" w:eastAsia="zh-CN"/>
        </w:rPr>
        <w:t>17.</w:t>
      </w:r>
      <w:r>
        <w:rPr>
          <w:rFonts w:hint="eastAsia" w:ascii="Times New Roman" w:hAnsi="Times New Roman" w:eastAsia="仿宋_GB2312"/>
          <w:b/>
          <w:bCs/>
          <w:color w:val="000000"/>
          <w:sz w:val="32"/>
          <w:szCs w:val="32"/>
        </w:rPr>
        <w:t>实施农村清洁工程，开展河道沟渠的清淤疏浚。</w:t>
      </w:r>
      <w:r>
        <w:rPr>
          <w:rFonts w:hint="eastAsia" w:ascii="Times New Roman" w:hAnsi="Times New Roman" w:eastAsia="仿宋_GB2312"/>
          <w:b w:val="0"/>
          <w:bCs w:val="0"/>
          <w:color w:val="000000"/>
          <w:sz w:val="32"/>
          <w:szCs w:val="32"/>
          <w:lang w:eastAsia="zh-CN"/>
        </w:rPr>
        <w:t>积极配合自治区</w:t>
      </w:r>
      <w:r>
        <w:rPr>
          <w:rFonts w:hint="eastAsia" w:ascii="Times New Roman" w:hAnsi="Times New Roman" w:eastAsia="仿宋_GB2312"/>
          <w:color w:val="000000"/>
          <w:sz w:val="32"/>
          <w:szCs w:val="32"/>
        </w:rPr>
        <w:t>开展农村黑臭水体排查，明确黑臭水体名称、地理位置、污染成因和治理方位等，建立名册台账。</w:t>
      </w:r>
      <w:r>
        <w:rPr>
          <w:rFonts w:hint="eastAsia" w:ascii="Times New Roman" w:hAnsi="Times New Roman" w:eastAsia="仿宋_GB2312"/>
          <w:color w:val="000000"/>
          <w:sz w:val="32"/>
          <w:szCs w:val="32"/>
          <w:lang w:eastAsia="zh-CN"/>
        </w:rPr>
        <w:t>排查完成后，根据排查情况积极</w:t>
      </w:r>
      <w:r>
        <w:rPr>
          <w:rFonts w:hint="eastAsia" w:ascii="Times New Roman" w:hAnsi="Times New Roman" w:eastAsia="仿宋_GB2312"/>
          <w:color w:val="000000"/>
          <w:sz w:val="32"/>
          <w:szCs w:val="32"/>
        </w:rPr>
        <w:t>开展农村黑臭水体综合治理，统筹推进农村生活污水、畜禽粪污、水产养殖、种植业面源污染治理和农村改厕工程，切实做到互促共进，逐步消除农村</w:t>
      </w:r>
      <w:r>
        <w:rPr>
          <w:rFonts w:hint="eastAsia" w:ascii="Times New Roman" w:hAnsi="Times New Roman" w:eastAsia="仿宋_GB2312"/>
          <w:color w:val="000000"/>
          <w:sz w:val="32"/>
          <w:szCs w:val="32"/>
          <w:lang w:eastAsia="zh-CN"/>
        </w:rPr>
        <w:t>黑</w:t>
      </w:r>
      <w:r>
        <w:rPr>
          <w:rFonts w:hint="eastAsia" w:ascii="Times New Roman" w:hAnsi="Times New Roman" w:eastAsia="仿宋_GB2312"/>
          <w:color w:val="000000"/>
          <w:sz w:val="32"/>
          <w:szCs w:val="32"/>
        </w:rPr>
        <w:t>臭水体</w:t>
      </w:r>
      <w:r>
        <w:rPr>
          <w:rFonts w:hint="eastAsia" w:ascii="仿宋_GB2312" w:hAnsi="仿宋_GB2312" w:eastAsia="仿宋_GB2312" w:cs="仿宋_GB2312"/>
          <w:b w:val="0"/>
          <w:bCs/>
          <w:color w:val="000000"/>
          <w:sz w:val="32"/>
          <w:szCs w:val="32"/>
        </w:rPr>
        <w:t>。</w:t>
      </w:r>
    </w:p>
    <w:p>
      <w:pPr>
        <w:widowControl w:val="0"/>
        <w:wordWrap/>
        <w:adjustRightInd/>
        <w:snapToGrid/>
        <w:spacing w:line="560" w:lineRule="exact"/>
        <w:ind w:left="2244" w:leftChars="304" w:right="0" w:hanging="1606" w:hangingChars="500"/>
        <w:textAlignment w:val="auto"/>
        <w:rPr>
          <w:rFonts w:hint="eastAsia"/>
          <w:b w:val="0"/>
          <w:bCs w:val="0"/>
          <w:color w:val="000000"/>
          <w:lang w:val="en-US" w:eastAsia="zh-CN"/>
        </w:rPr>
      </w:pPr>
      <w:r>
        <w:rPr>
          <w:rFonts w:hint="eastAsia" w:ascii="仿宋_GB2312" w:hAnsi="宋体" w:eastAsia="仿宋_GB2312" w:cs="方正仿宋_GBK"/>
          <w:b/>
          <w:bCs/>
          <w:color w:val="000000"/>
          <w:sz w:val="32"/>
          <w:szCs w:val="32"/>
          <w:lang w:val="zh-CN" w:eastAsia="zh-CN"/>
        </w:rPr>
        <w:t>牵头单位：</w:t>
      </w:r>
      <w:r>
        <w:rPr>
          <w:rFonts w:hint="eastAsia" w:ascii="仿宋_GB2312" w:hAnsi="宋体" w:eastAsia="仿宋_GB2312" w:cs="方正仿宋_GBK"/>
          <w:b w:val="0"/>
          <w:bCs w:val="0"/>
          <w:color w:val="000000"/>
          <w:spacing w:val="-20"/>
          <w:sz w:val="32"/>
          <w:szCs w:val="32"/>
          <w:lang w:val="zh-CN" w:eastAsia="zh-CN"/>
        </w:rPr>
        <w:t>农业农村局</w:t>
      </w:r>
    </w:p>
    <w:p>
      <w:pPr>
        <w:pStyle w:val="6"/>
        <w:widowControl w:val="0"/>
        <w:wordWrap/>
        <w:adjustRightInd/>
        <w:snapToGrid/>
        <w:spacing w:after="0" w:line="560" w:lineRule="exact"/>
        <w:ind w:left="0" w:leftChars="0" w:right="0" w:firstLine="642" w:firstLineChars="0"/>
        <w:textAlignment w:val="auto"/>
        <w:rPr>
          <w:rFonts w:ascii="仿宋_GB2312" w:hAnsi="仿宋_GB2312" w:eastAsia="仿宋_GB2312" w:cs="仿宋_GB2312"/>
          <w:color w:val="000000"/>
          <w:kern w:val="0"/>
          <w:sz w:val="32"/>
          <w:szCs w:val="32"/>
        </w:rPr>
      </w:pPr>
      <w:r>
        <w:rPr>
          <w:rFonts w:hint="eastAsia" w:ascii="仿宋_GB2312" w:hAnsi="宋体" w:eastAsia="仿宋_GB2312" w:cs="方正仿宋_GBK"/>
          <w:b/>
          <w:bCs/>
          <w:color w:val="000000"/>
          <w:sz w:val="32"/>
          <w:szCs w:val="32"/>
          <w:lang w:val="en-US" w:eastAsia="zh-CN"/>
        </w:rPr>
        <w:t>配合单位：</w:t>
      </w:r>
      <w:r>
        <w:rPr>
          <w:rFonts w:hint="eastAsia" w:ascii="仿宋_GB2312" w:hAnsi="宋体" w:eastAsia="仿宋_GB2312" w:cs="方正仿宋_GBK"/>
          <w:b w:val="0"/>
          <w:bCs w:val="0"/>
          <w:color w:val="000000"/>
          <w:sz w:val="32"/>
          <w:szCs w:val="32"/>
          <w:lang w:val="zh-CN" w:eastAsia="zh-CN"/>
        </w:rPr>
        <w:t>银川市生态环境局贺兰分局、</w:t>
      </w:r>
      <w:r>
        <w:rPr>
          <w:rFonts w:hint="eastAsia" w:ascii="仿宋_GB2312" w:hAnsi="宋体" w:eastAsia="仿宋_GB2312" w:cs="方正仿宋_GBK"/>
          <w:b w:val="0"/>
          <w:bCs w:val="0"/>
          <w:color w:val="000000"/>
          <w:spacing w:val="-20"/>
          <w:sz w:val="32"/>
          <w:szCs w:val="32"/>
          <w:lang w:val="zh-CN" w:eastAsia="zh-CN"/>
        </w:rPr>
        <w:t>水务局、</w:t>
      </w:r>
      <w:r>
        <w:rPr>
          <w:rFonts w:hint="eastAsia" w:ascii="仿宋_GB2312" w:hAnsi="仿宋_GB2312" w:eastAsia="仿宋_GB2312" w:cs="仿宋_GB2312"/>
          <w:color w:val="000000"/>
          <w:sz w:val="32"/>
          <w:szCs w:val="32"/>
          <w:lang w:val="en-US" w:eastAsia="zh-CN"/>
        </w:rPr>
        <w:t>各乡镇（场）</w:t>
      </w:r>
    </w:p>
    <w:p>
      <w:pPr>
        <w:widowControl w:val="0"/>
        <w:numPr>
          <w:ilvl w:val="0"/>
          <w:numId w:val="2"/>
        </w:numPr>
        <w:wordWrap/>
        <w:adjustRightInd/>
        <w:snapToGrid/>
        <w:spacing w:line="560" w:lineRule="exact"/>
        <w:ind w:right="0"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工作要求</w:t>
      </w:r>
    </w:p>
    <w:p>
      <w:pPr>
        <w:widowControl w:val="0"/>
        <w:wordWrap/>
        <w:adjustRightInd/>
        <w:snapToGrid/>
        <w:spacing w:line="560" w:lineRule="exact"/>
        <w:ind w:left="0" w:leftChars="0" w:right="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r>
        <w:rPr>
          <w:rFonts w:hint="eastAsia" w:ascii="Times New Roman" w:hAnsi="Times New Roman" w:eastAsia="楷体_GB2312" w:cs="Times New Roman"/>
          <w:b/>
          <w:bCs/>
          <w:color w:val="000000"/>
          <w:sz w:val="32"/>
          <w:szCs w:val="32"/>
          <w:lang w:val="en-US" w:eastAsia="zh-CN"/>
        </w:rPr>
        <w:t>（一）加强组织领导，强化责任落实。</w:t>
      </w:r>
      <w:r>
        <w:rPr>
          <w:rFonts w:hint="eastAsia" w:ascii="仿宋_GB2312" w:hAnsi="仿宋_GB2312" w:eastAsia="仿宋_GB2312" w:cs="仿宋_GB2312"/>
          <w:color w:val="000000"/>
          <w:sz w:val="32"/>
          <w:szCs w:val="32"/>
          <w:lang w:val="en-US" w:eastAsia="zh-CN"/>
        </w:rPr>
        <w:t>各乡镇（场）要对本辖区的</w:t>
      </w:r>
      <w:r>
        <w:rPr>
          <w:rFonts w:hint="eastAsia" w:ascii="Times New Roman" w:hAnsi="Times New Roman" w:eastAsia="仿宋_GB2312" w:cs="Times New Roman"/>
          <w:color w:val="000000"/>
          <w:sz w:val="32"/>
          <w:szCs w:val="32"/>
          <w:lang w:val="en-US" w:eastAsia="zh-CN"/>
        </w:rPr>
        <w:t>农业农村污染防治工作</w:t>
      </w:r>
      <w:r>
        <w:rPr>
          <w:rFonts w:hint="default" w:ascii="Times New Roman" w:hAnsi="Times New Roman" w:eastAsia="仿宋_GB2312" w:cs="Times New Roman"/>
          <w:color w:val="000000"/>
          <w:sz w:val="32"/>
          <w:szCs w:val="32"/>
          <w:lang w:val="en-US" w:eastAsia="zh-CN"/>
        </w:rPr>
        <w:t>负总责，主要领导是第一责任人，要定期协调解决重大问题。各单位要按照“管发展的管环保，管生产的管环保，管行业的管环保”的原则，根据本方案要求，细化分工任务，落实“一岗双责”。有</w:t>
      </w:r>
      <w:r>
        <w:rPr>
          <w:rFonts w:hint="default" w:ascii="Times New Roman" w:hAnsi="Times New Roman" w:eastAsia="仿宋_GB2312" w:cs="Times New Roman"/>
          <w:color w:val="000000"/>
          <w:spacing w:val="-9"/>
          <w:sz w:val="32"/>
          <w:szCs w:val="32"/>
          <w:lang w:val="en-US" w:eastAsia="zh-CN"/>
        </w:rPr>
        <w:t>关企业要执行环保法律法规和制度，加强内部管理</w:t>
      </w:r>
      <w:r>
        <w:rPr>
          <w:rFonts w:hint="eastAsia" w:ascii="Times New Roman" w:hAnsi="Times New Roman" w:eastAsia="仿宋_GB2312" w:cs="Times New Roman"/>
          <w:color w:val="000000"/>
          <w:spacing w:val="-9"/>
          <w:sz w:val="32"/>
          <w:szCs w:val="32"/>
          <w:lang w:val="en-US" w:eastAsia="zh-CN"/>
        </w:rPr>
        <w:t>。</w:t>
      </w:r>
    </w:p>
    <w:p>
      <w:pPr>
        <w:widowControl w:val="0"/>
        <w:numPr>
          <w:ilvl w:val="0"/>
          <w:numId w:val="0"/>
        </w:numPr>
        <w:wordWrap/>
        <w:adjustRightInd/>
        <w:snapToGrid/>
        <w:spacing w:line="560" w:lineRule="exact"/>
        <w:ind w:right="0" w:firstLine="643"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b/>
          <w:bCs/>
          <w:color w:val="000000"/>
          <w:sz w:val="32"/>
          <w:szCs w:val="32"/>
          <w:lang w:val="en-US" w:eastAsia="zh-CN"/>
        </w:rPr>
        <w:t>（二）强化信息公开，严肃责任追究。</w:t>
      </w:r>
      <w:r>
        <w:rPr>
          <w:rFonts w:hint="eastAsia" w:ascii="仿宋_GB2312" w:hAnsi="仿宋_GB2312" w:eastAsia="仿宋_GB2312" w:cs="仿宋_GB2312"/>
          <w:b w:val="0"/>
          <w:bCs w:val="0"/>
          <w:color w:val="000000"/>
          <w:sz w:val="32"/>
          <w:szCs w:val="32"/>
          <w:lang w:val="en-US" w:eastAsia="zh-CN"/>
        </w:rPr>
        <w:t>建立宣传引导机制，发布权威信息，及时回应群众关心的热点难点问题。当主动向公众介绍农业农村污染过程、持续时间、影响范围、污染成因，积极宣传采取的应对措施，满足公众知情权。把信息公开作为推动农业农村污染防治工作的重要抓手，建立健全信息强制公开制度。</w:t>
      </w:r>
      <w:r>
        <w:rPr>
          <w:rFonts w:hint="default" w:ascii="Times New Roman" w:hAnsi="Times New Roman" w:eastAsia="仿宋_GB2312" w:cs="Times New Roman"/>
          <w:color w:val="000000"/>
          <w:sz w:val="32"/>
          <w:szCs w:val="32"/>
          <w:lang w:val="en-US" w:eastAsia="zh-CN"/>
        </w:rPr>
        <w:t>对</w:t>
      </w:r>
      <w:r>
        <w:rPr>
          <w:rFonts w:hint="eastAsia" w:ascii="Times New Roman" w:hAnsi="Times New Roman" w:eastAsia="仿宋_GB2312" w:cs="Times New Roman"/>
          <w:color w:val="000000"/>
          <w:sz w:val="32"/>
          <w:szCs w:val="32"/>
          <w:lang w:val="en-US" w:eastAsia="zh-CN"/>
        </w:rPr>
        <w:t>农业农村</w:t>
      </w:r>
      <w:r>
        <w:rPr>
          <w:rFonts w:hint="default" w:ascii="Times New Roman" w:hAnsi="Times New Roman" w:eastAsia="仿宋_GB2312" w:cs="Times New Roman"/>
          <w:color w:val="000000"/>
          <w:sz w:val="32"/>
          <w:szCs w:val="32"/>
          <w:lang w:val="en-US" w:eastAsia="zh-CN"/>
        </w:rPr>
        <w:t>环境问题突出、防治工作不力、</w:t>
      </w:r>
      <w:r>
        <w:rPr>
          <w:rFonts w:hint="default" w:ascii="仿宋_GB2312" w:hAnsi="仿宋_GB2312" w:eastAsia="仿宋_GB2312" w:cs="仿宋_GB2312"/>
          <w:b w:val="0"/>
          <w:bCs w:val="0"/>
          <w:color w:val="000000"/>
          <w:kern w:val="2"/>
          <w:sz w:val="32"/>
          <w:szCs w:val="32"/>
          <w:lang w:val="en-US" w:eastAsia="zh-CN" w:bidi="ar-SA"/>
        </w:rPr>
        <w:t>群众</w:t>
      </w:r>
      <w:r>
        <w:rPr>
          <w:rFonts w:hint="default" w:ascii="Times New Roman" w:hAnsi="Times New Roman" w:eastAsia="仿宋_GB2312" w:cs="Times New Roman"/>
          <w:color w:val="000000"/>
          <w:sz w:val="32"/>
          <w:szCs w:val="32"/>
          <w:lang w:val="en-US" w:eastAsia="zh-CN"/>
        </w:rPr>
        <w:t>反映强烈的地区的相关责任人</w:t>
      </w:r>
      <w:r>
        <w:rPr>
          <w:rFonts w:hint="eastAsia" w:ascii="Times New Roman" w:hAnsi="Times New Roman" w:eastAsia="仿宋_GB2312" w:cs="Times New Roman"/>
          <w:color w:val="000000"/>
          <w:sz w:val="32"/>
          <w:szCs w:val="32"/>
          <w:lang w:val="en-US" w:eastAsia="zh-CN"/>
        </w:rPr>
        <w:t>依法依规进行责任追究</w:t>
      </w:r>
      <w:r>
        <w:rPr>
          <w:rFonts w:hint="default" w:ascii="Times New Roman" w:hAnsi="Times New Roman" w:eastAsia="仿宋_GB2312" w:cs="Times New Roman"/>
          <w:color w:val="000000"/>
          <w:sz w:val="32"/>
          <w:szCs w:val="32"/>
          <w:lang w:val="en-US" w:eastAsia="zh-CN"/>
        </w:rPr>
        <w:t>。</w:t>
      </w:r>
    </w:p>
    <w:p>
      <w:pPr>
        <w:pStyle w:val="6"/>
        <w:widowControl w:val="0"/>
        <w:wordWrap/>
        <w:adjustRightInd/>
        <w:snapToGrid/>
        <w:spacing w:after="0" w:line="560" w:lineRule="exact"/>
        <w:ind w:left="0" w:leftChars="0" w:right="0" w:firstLine="0" w:firstLineChars="0"/>
        <w:textAlignment w:val="auto"/>
        <w:rPr>
          <w:rFonts w:hint="eastAsia" w:ascii="仿宋_GB2312" w:hAnsi="仿宋_GB2312" w:eastAsia="仿宋_GB2312" w:cs="仿宋_GB2312"/>
          <w:b w:val="0"/>
          <w:bCs w:val="0"/>
          <w:color w:val="000000"/>
          <w:kern w:val="2"/>
          <w:sz w:val="32"/>
          <w:szCs w:val="32"/>
          <w:lang w:val="en-US" w:eastAsia="zh-CN" w:bidi="ar-SA"/>
        </w:rPr>
      </w:pPr>
    </w:p>
    <w:p>
      <w:pPr>
        <w:pStyle w:val="6"/>
        <w:widowControl w:val="0"/>
        <w:wordWrap/>
        <w:adjustRightInd/>
        <w:snapToGrid/>
        <w:spacing w:after="0" w:line="560" w:lineRule="exact"/>
        <w:ind w:left="0" w:leftChars="0" w:right="0" w:firstLine="640" w:firstLineChars="200"/>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附件：1.贺兰县2019年农村生活污水治理建设工程项目</w:t>
      </w:r>
    </w:p>
    <w:p>
      <w:pPr>
        <w:widowControl w:val="0"/>
        <w:wordWrap/>
        <w:adjustRightInd/>
        <w:snapToGrid/>
        <w:spacing w:line="560" w:lineRule="exact"/>
        <w:ind w:right="0"/>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 xml:space="preserve">          2.贺兰县2020年农村生活污水治理建设工程项目</w:t>
      </w:r>
    </w:p>
    <w:p>
      <w:pPr>
        <w:pStyle w:val="2"/>
        <w:rPr>
          <w:rFonts w:hint="eastAsia"/>
          <w:lang w:val="en-US" w:eastAsia="zh-CN"/>
        </w:rPr>
      </w:pPr>
    </w:p>
    <w:p/>
    <w:p>
      <w:pPr>
        <w:pStyle w:val="6"/>
        <w:widowControl w:val="0"/>
        <w:numPr>
          <w:ilvl w:val="0"/>
          <w:numId w:val="0"/>
        </w:numPr>
        <w:wordWrap/>
        <w:adjustRightInd/>
        <w:snapToGrid/>
        <w:spacing w:after="0" w:line="560" w:lineRule="exact"/>
        <w:ind w:leftChars="200" w:right="0"/>
        <w:textAlignment w:val="auto"/>
        <w:rPr>
          <w:rFonts w:hint="eastAsia" w:ascii="方正小标宋_GBK" w:hAnsi="方正小标宋_GBK" w:eastAsia="方正小标宋_GBK" w:cs="方正小标宋_GBK"/>
          <w:color w:val="000000"/>
          <w:sz w:val="40"/>
          <w:szCs w:val="40"/>
          <w:lang w:val="en-US" w:eastAsia="zh-CN"/>
        </w:rPr>
        <w:sectPr>
          <w:footerReference r:id="rId3" w:type="default"/>
          <w:pgSz w:w="11906" w:h="16838"/>
          <w:pgMar w:top="2098" w:right="1474" w:bottom="1984" w:left="1587" w:header="851" w:footer="992" w:gutter="0"/>
          <w:pgNumType w:fmt="numberInDash"/>
          <w:cols w:space="720" w:num="1"/>
          <w:docGrid w:type="lines" w:linePitch="312" w:charSpace="0"/>
        </w:sectPr>
      </w:pPr>
      <w:r>
        <w:rPr>
          <w:rFonts w:hint="eastAsia" w:ascii="仿宋_GB2312" w:hAnsi="仿宋_GB2312" w:eastAsia="仿宋_GB2312" w:cs="仿宋_GB2312"/>
          <w:color w:val="000000"/>
          <w:lang w:val="en-US" w:eastAsia="zh-CN"/>
        </w:rPr>
        <w:br w:type="page"/>
      </w:r>
    </w:p>
    <w:p>
      <w:pPr>
        <w:widowControl w:val="0"/>
        <w:wordWrap/>
        <w:ind w:right="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附件1</w:t>
      </w:r>
    </w:p>
    <w:p>
      <w:pPr>
        <w:widowControl w:val="0"/>
        <w:wordWrap/>
        <w:ind w:right="0"/>
        <w:jc w:val="center"/>
        <w:textAlignment w:val="auto"/>
        <w:rPr>
          <w:rFonts w:hint="eastAsia" w:ascii="方正小标宋_GBK" w:hAnsi="方正小标宋_GBK" w:eastAsia="方正小标宋_GBK" w:cs="方正小标宋_GBK"/>
          <w:color w:val="000000"/>
          <w:sz w:val="40"/>
          <w:szCs w:val="40"/>
          <w:lang w:val="en-US" w:eastAsia="zh-CN"/>
        </w:rPr>
      </w:pPr>
      <w:r>
        <w:rPr>
          <w:rFonts w:hint="eastAsia" w:ascii="方正小标宋_GBK" w:hAnsi="方正小标宋_GBK" w:eastAsia="方正小标宋_GBK" w:cs="方正小标宋_GBK"/>
          <w:color w:val="000000"/>
          <w:sz w:val="40"/>
          <w:szCs w:val="40"/>
          <w:lang w:val="en-US" w:eastAsia="zh-CN"/>
        </w:rPr>
        <w:t>贺兰县2019年农村生活污水治理建设工程项目</w:t>
      </w:r>
    </w:p>
    <w:tbl>
      <w:tblPr>
        <w:tblStyle w:val="8"/>
        <w:tblW w:w="13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08"/>
        <w:gridCol w:w="1872"/>
        <w:gridCol w:w="1356"/>
        <w:gridCol w:w="7476"/>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116" w:type="dxa"/>
            <w:vAlign w:val="center"/>
          </w:tcPr>
          <w:p>
            <w:pPr>
              <w:widowControl w:val="0"/>
              <w:wordWrap/>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县（区）</w:t>
            </w:r>
          </w:p>
        </w:tc>
        <w:tc>
          <w:tcPr>
            <w:tcW w:w="708" w:type="dxa"/>
            <w:vAlign w:val="center"/>
          </w:tcPr>
          <w:p>
            <w:pPr>
              <w:widowControl w:val="0"/>
              <w:wordWrap/>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序号</w:t>
            </w:r>
          </w:p>
        </w:tc>
        <w:tc>
          <w:tcPr>
            <w:tcW w:w="1872" w:type="dxa"/>
            <w:vAlign w:val="center"/>
          </w:tcPr>
          <w:p>
            <w:pPr>
              <w:widowControl w:val="0"/>
              <w:wordWrap/>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项目名称</w:t>
            </w:r>
          </w:p>
        </w:tc>
        <w:tc>
          <w:tcPr>
            <w:tcW w:w="1356" w:type="dxa"/>
            <w:vAlign w:val="center"/>
          </w:tcPr>
          <w:p>
            <w:pPr>
              <w:widowControl w:val="0"/>
              <w:wordWrap/>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项目类型</w:t>
            </w:r>
          </w:p>
        </w:tc>
        <w:tc>
          <w:tcPr>
            <w:tcW w:w="7476" w:type="dxa"/>
            <w:vAlign w:val="center"/>
          </w:tcPr>
          <w:p>
            <w:pPr>
              <w:widowControl w:val="0"/>
              <w:wordWrap/>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建设内容</w:t>
            </w:r>
          </w:p>
        </w:tc>
        <w:tc>
          <w:tcPr>
            <w:tcW w:w="972" w:type="dxa"/>
            <w:vAlign w:val="center"/>
          </w:tcPr>
          <w:p>
            <w:pPr>
              <w:widowControl w:val="0"/>
              <w:wordWrap/>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116" w:type="dxa"/>
            <w:vMerge w:val="restart"/>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p>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p>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p>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贺兰县</w:t>
            </w:r>
          </w:p>
        </w:tc>
        <w:tc>
          <w:tcPr>
            <w:tcW w:w="708"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w:t>
            </w:r>
          </w:p>
        </w:tc>
        <w:tc>
          <w:tcPr>
            <w:tcW w:w="18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洪广镇欣荣村农村污水处理项目</w:t>
            </w:r>
          </w:p>
        </w:tc>
        <w:tc>
          <w:tcPr>
            <w:tcW w:w="135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新建设施</w:t>
            </w:r>
          </w:p>
        </w:tc>
        <w:tc>
          <w:tcPr>
            <w:tcW w:w="747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De500管2.3Km，De400管1Km，De300管10.3Km，De200管16Km，De100管38Km,；Φ700检查井1040座，Φ1000检查井55座，400m</w:t>
            </w:r>
            <w:r>
              <w:rPr>
                <w:rFonts w:hint="eastAsia" w:ascii="仿宋_GB2312" w:hAnsi="仿宋_GB2312" w:eastAsia="仿宋_GB2312" w:cs="仿宋_GB2312"/>
                <w:color w:val="000000"/>
                <w:sz w:val="21"/>
                <w:szCs w:val="21"/>
                <w:vertAlign w:val="superscript"/>
                <w:lang w:val="en-US" w:eastAsia="zh-CN"/>
              </w:rPr>
              <w:t>3</w:t>
            </w:r>
            <w:r>
              <w:rPr>
                <w:rFonts w:hint="eastAsia" w:ascii="仿宋_GB2312" w:hAnsi="仿宋_GB2312" w:eastAsia="仿宋_GB2312" w:cs="仿宋_GB2312"/>
                <w:color w:val="000000"/>
                <w:sz w:val="21"/>
                <w:szCs w:val="21"/>
                <w:lang w:val="en-US" w:eastAsia="zh-CN"/>
              </w:rPr>
              <w:t>/d污水处理站1座，提升泵站3座。</w:t>
            </w:r>
          </w:p>
        </w:tc>
        <w:tc>
          <w:tcPr>
            <w:tcW w:w="9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jc w:val="center"/>
        </w:trPr>
        <w:tc>
          <w:tcPr>
            <w:tcW w:w="1116" w:type="dxa"/>
            <w:vMerge w:val="continue"/>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p>
        </w:tc>
        <w:tc>
          <w:tcPr>
            <w:tcW w:w="708"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w:t>
            </w:r>
          </w:p>
        </w:tc>
        <w:tc>
          <w:tcPr>
            <w:tcW w:w="18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洪广镇金鑫村污水处理站</w:t>
            </w:r>
          </w:p>
        </w:tc>
        <w:tc>
          <w:tcPr>
            <w:tcW w:w="135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管网工程</w:t>
            </w:r>
          </w:p>
        </w:tc>
        <w:tc>
          <w:tcPr>
            <w:tcW w:w="747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经可研调整，金山村不在特许经营项目范围内。金鑫村重力及压力管线设计23.4Km，完成22.3Km;DN110排水管设计36Km，已完成30Km;检查井设计807座，已完成</w:t>
            </w:r>
            <w:r>
              <w:rPr>
                <w:rFonts w:hint="eastAsia" w:ascii="仿宋_GB2312" w:hAnsi="仿宋_GB2312" w:eastAsia="仿宋_GB2312" w:cs="仿宋_GB2312"/>
                <w:color w:val="000000"/>
                <w:sz w:val="21"/>
                <w:szCs w:val="21"/>
                <w:highlight w:val="none"/>
                <w:lang w:val="en-US" w:eastAsia="zh-CN"/>
              </w:rPr>
              <w:t>762座；</w:t>
            </w:r>
            <w:r>
              <w:rPr>
                <w:rFonts w:hint="eastAsia" w:ascii="仿宋_GB2312" w:hAnsi="仿宋_GB2312" w:eastAsia="仿宋_GB2312" w:cs="仿宋_GB2312"/>
                <w:color w:val="000000"/>
                <w:sz w:val="21"/>
                <w:szCs w:val="21"/>
                <w:lang w:val="en-US" w:eastAsia="zh-CN"/>
              </w:rPr>
              <w:t>2座50m</w:t>
            </w:r>
            <w:r>
              <w:rPr>
                <w:rFonts w:hint="eastAsia" w:ascii="仿宋_GB2312" w:hAnsi="仿宋_GB2312" w:eastAsia="仿宋_GB2312" w:cs="仿宋_GB2312"/>
                <w:color w:val="000000"/>
                <w:sz w:val="21"/>
                <w:szCs w:val="21"/>
                <w:vertAlign w:val="superscript"/>
                <w:lang w:val="en-US" w:eastAsia="zh-CN"/>
              </w:rPr>
              <w:t>3</w:t>
            </w:r>
            <w:r>
              <w:rPr>
                <w:rFonts w:hint="eastAsia" w:ascii="仿宋_GB2312" w:hAnsi="仿宋_GB2312" w:eastAsia="仿宋_GB2312" w:cs="仿宋_GB2312"/>
                <w:color w:val="000000"/>
                <w:sz w:val="21"/>
                <w:szCs w:val="21"/>
                <w:lang w:val="en-US" w:eastAsia="zh-CN"/>
              </w:rPr>
              <w:t>集污池设计，已完成；一体化泵站设计7座，完成2座。另，金鑫村5社（试点工程）集污管网880米，检查井25座，25m</w:t>
            </w:r>
            <w:r>
              <w:rPr>
                <w:rFonts w:hint="eastAsia" w:ascii="仿宋_GB2312" w:hAnsi="仿宋_GB2312" w:eastAsia="仿宋_GB2312" w:cs="仿宋_GB2312"/>
                <w:color w:val="000000"/>
                <w:sz w:val="21"/>
                <w:szCs w:val="21"/>
                <w:vertAlign w:val="superscript"/>
                <w:lang w:val="en-US" w:eastAsia="zh-CN"/>
              </w:rPr>
              <w:t>3</w:t>
            </w:r>
            <w:r>
              <w:rPr>
                <w:rFonts w:hint="eastAsia" w:ascii="仿宋_GB2312" w:hAnsi="仿宋_GB2312" w:eastAsia="仿宋_GB2312" w:cs="仿宋_GB2312"/>
                <w:color w:val="000000"/>
                <w:sz w:val="21"/>
                <w:szCs w:val="21"/>
                <w:lang w:val="en-US" w:eastAsia="zh-CN"/>
              </w:rPr>
              <w:t>集污池及净化槽安装已完成，新建污水处理站1座。</w:t>
            </w:r>
          </w:p>
        </w:tc>
        <w:tc>
          <w:tcPr>
            <w:tcW w:w="9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116" w:type="dxa"/>
            <w:vMerge w:val="continue"/>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p>
        </w:tc>
        <w:tc>
          <w:tcPr>
            <w:tcW w:w="708"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w:t>
            </w:r>
          </w:p>
        </w:tc>
        <w:tc>
          <w:tcPr>
            <w:tcW w:w="18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常信乡农村生活污水管网</w:t>
            </w:r>
          </w:p>
        </w:tc>
        <w:tc>
          <w:tcPr>
            <w:tcW w:w="135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管网工程</w:t>
            </w:r>
          </w:p>
        </w:tc>
        <w:tc>
          <w:tcPr>
            <w:tcW w:w="747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经可研调整，新民村、张亮村工程不在特许经营工程范围内，四十里店村生活污水不接入县城生活污水处理站。四十里店工程只涉及十八队（王家方），实际建设1座50m</w:t>
            </w:r>
            <w:r>
              <w:rPr>
                <w:rFonts w:hint="eastAsia" w:ascii="仿宋_GB2312" w:hAnsi="仿宋_GB2312" w:eastAsia="仿宋_GB2312" w:cs="仿宋_GB2312"/>
                <w:color w:val="000000"/>
                <w:sz w:val="21"/>
                <w:szCs w:val="21"/>
                <w:vertAlign w:val="superscript"/>
                <w:lang w:val="en-US" w:eastAsia="zh-CN"/>
              </w:rPr>
              <w:t>3</w:t>
            </w:r>
            <w:r>
              <w:rPr>
                <w:rFonts w:hint="eastAsia" w:ascii="仿宋_GB2312" w:hAnsi="仿宋_GB2312" w:eastAsia="仿宋_GB2312" w:cs="仿宋_GB2312"/>
                <w:color w:val="000000"/>
                <w:sz w:val="21"/>
                <w:szCs w:val="21"/>
                <w:lang w:val="en-US" w:eastAsia="zh-CN"/>
              </w:rPr>
              <w:t>集污池，集污管网658m,检查井35座。</w:t>
            </w:r>
          </w:p>
        </w:tc>
        <w:tc>
          <w:tcPr>
            <w:tcW w:w="9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1116" w:type="dxa"/>
            <w:vMerge w:val="continue"/>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p>
        </w:tc>
        <w:tc>
          <w:tcPr>
            <w:tcW w:w="708"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w:t>
            </w:r>
          </w:p>
        </w:tc>
        <w:tc>
          <w:tcPr>
            <w:tcW w:w="18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立岗镇农村生活污水管网</w:t>
            </w:r>
          </w:p>
        </w:tc>
        <w:tc>
          <w:tcPr>
            <w:tcW w:w="135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管网工程</w:t>
            </w:r>
          </w:p>
        </w:tc>
        <w:tc>
          <w:tcPr>
            <w:tcW w:w="747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经可研调整，金星村、星光村不接入立岗镇生活污水处理站。金星村重力管道设计446m、DN110排水管370m，1座50m</w:t>
            </w:r>
            <w:r>
              <w:rPr>
                <w:rFonts w:hint="eastAsia" w:ascii="仿宋_GB2312" w:hAnsi="仿宋_GB2312" w:eastAsia="仿宋_GB2312" w:cs="仿宋_GB2312"/>
                <w:color w:val="000000"/>
                <w:sz w:val="21"/>
                <w:szCs w:val="21"/>
                <w:vertAlign w:val="superscript"/>
                <w:lang w:val="en-US" w:eastAsia="zh-CN"/>
              </w:rPr>
              <w:t>3</w:t>
            </w:r>
            <w:r>
              <w:rPr>
                <w:rFonts w:hint="eastAsia" w:ascii="仿宋_GB2312" w:hAnsi="仿宋_GB2312" w:eastAsia="仿宋_GB2312" w:cs="仿宋_GB2312"/>
                <w:color w:val="000000"/>
                <w:sz w:val="21"/>
                <w:szCs w:val="21"/>
                <w:lang w:val="en-US" w:eastAsia="zh-CN"/>
              </w:rPr>
              <w:t>集污池，集污管网1200m，检查井42座，均已完工；星光村8队（试点工程）1座50m</w:t>
            </w:r>
            <w:r>
              <w:rPr>
                <w:rFonts w:hint="eastAsia" w:ascii="仿宋_GB2312" w:hAnsi="仿宋_GB2312" w:eastAsia="仿宋_GB2312" w:cs="仿宋_GB2312"/>
                <w:color w:val="000000"/>
                <w:sz w:val="21"/>
                <w:szCs w:val="21"/>
                <w:vertAlign w:val="superscript"/>
                <w:lang w:val="en-US" w:eastAsia="zh-CN"/>
              </w:rPr>
              <w:t>3</w:t>
            </w:r>
            <w:r>
              <w:rPr>
                <w:rFonts w:hint="eastAsia" w:ascii="仿宋_GB2312" w:hAnsi="仿宋_GB2312" w:eastAsia="仿宋_GB2312" w:cs="仿宋_GB2312"/>
                <w:color w:val="000000"/>
                <w:sz w:val="21"/>
                <w:szCs w:val="21"/>
                <w:lang w:val="en-US" w:eastAsia="zh-CN"/>
              </w:rPr>
              <w:t>集污池，集污管网994米，检查井34座。</w:t>
            </w:r>
          </w:p>
        </w:tc>
        <w:tc>
          <w:tcPr>
            <w:tcW w:w="9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116" w:type="dxa"/>
            <w:vMerge w:val="continue"/>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p>
        </w:tc>
        <w:tc>
          <w:tcPr>
            <w:tcW w:w="708"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w:t>
            </w:r>
          </w:p>
        </w:tc>
        <w:tc>
          <w:tcPr>
            <w:tcW w:w="18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贺兰县金贵镇农村生活污水管网</w:t>
            </w:r>
          </w:p>
        </w:tc>
        <w:tc>
          <w:tcPr>
            <w:tcW w:w="135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管网工程</w:t>
            </w:r>
          </w:p>
        </w:tc>
        <w:tc>
          <w:tcPr>
            <w:tcW w:w="747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经可研调整，保南村生活污水不接入金贵镇污水处理站，重力管道设计942m、DN110排水管1480m，检查井49座、单翁化粪池53座、1座50m</w:t>
            </w:r>
            <w:r>
              <w:rPr>
                <w:rFonts w:hint="eastAsia" w:ascii="仿宋_GB2312" w:hAnsi="仿宋_GB2312" w:eastAsia="仿宋_GB2312" w:cs="仿宋_GB2312"/>
                <w:color w:val="000000"/>
                <w:sz w:val="21"/>
                <w:szCs w:val="21"/>
                <w:vertAlign w:val="superscript"/>
                <w:lang w:val="en-US" w:eastAsia="zh-CN"/>
              </w:rPr>
              <w:t>3</w:t>
            </w:r>
            <w:r>
              <w:rPr>
                <w:rFonts w:hint="eastAsia" w:ascii="仿宋_GB2312" w:hAnsi="仿宋_GB2312" w:eastAsia="仿宋_GB2312" w:cs="仿宋_GB2312"/>
                <w:color w:val="000000"/>
                <w:sz w:val="21"/>
                <w:szCs w:val="21"/>
                <w:lang w:val="en-US" w:eastAsia="zh-CN"/>
              </w:rPr>
              <w:t>集污池，现均已完工。雄英村生活污水接入江南新村管网，设计重力及压力管道5Km、检查井157座、单翁化粪池239座、一体化提升泵站3座。</w:t>
            </w:r>
          </w:p>
        </w:tc>
        <w:tc>
          <w:tcPr>
            <w:tcW w:w="9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jc w:val="center"/>
        </w:trPr>
        <w:tc>
          <w:tcPr>
            <w:tcW w:w="1116" w:type="dxa"/>
            <w:vMerge w:val="continue"/>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p>
        </w:tc>
        <w:tc>
          <w:tcPr>
            <w:tcW w:w="708"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w:t>
            </w:r>
          </w:p>
        </w:tc>
        <w:tc>
          <w:tcPr>
            <w:tcW w:w="18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南梁台子农村生活污水治理项目</w:t>
            </w:r>
          </w:p>
        </w:tc>
        <w:tc>
          <w:tcPr>
            <w:tcW w:w="135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新建设施</w:t>
            </w:r>
          </w:p>
        </w:tc>
        <w:tc>
          <w:tcPr>
            <w:tcW w:w="7476"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经可研调整，100立方米钢筋混凝土三格厌氧化粪池5座不再实施。铁东村重力及压力管道设计27.5Km，完成26.1Km；检查井设计929座，完成901座；单翁化粪池设计1270座，完成1207座；一体化提升泵站设计16座，预计于2020年4月中旬完工。铁西村重力及压力管道设计10.6Km，已完成；检查井设计288座，已完成；单翁化粪池设计503座，已完成；一体化提升泵站设计4座，预计于2020年4月中旬完工。隆源村建设生活污水处理终端1座，配套污水收集管网，已完成。</w:t>
            </w:r>
          </w:p>
        </w:tc>
        <w:tc>
          <w:tcPr>
            <w:tcW w:w="972" w:type="dxa"/>
            <w:vAlign w:val="center"/>
          </w:tcPr>
          <w:p>
            <w:pPr>
              <w:widowControl w:val="0"/>
              <w:wordWrap/>
              <w:ind w:right="0"/>
              <w:jc w:val="center"/>
              <w:textAlignment w:val="auto"/>
              <w:rPr>
                <w:rFonts w:hint="eastAsia" w:ascii="仿宋_GB2312" w:hAnsi="仿宋_GB2312" w:eastAsia="仿宋_GB2312" w:cs="仿宋_GB2312"/>
                <w:color w:val="000000"/>
                <w:sz w:val="21"/>
                <w:szCs w:val="21"/>
                <w:lang w:val="en-US" w:eastAsia="zh-CN"/>
              </w:rPr>
            </w:pPr>
          </w:p>
        </w:tc>
      </w:tr>
    </w:tbl>
    <w:p>
      <w:pPr>
        <w:widowControl w:val="0"/>
        <w:wordWrap/>
        <w:ind w:right="0"/>
        <w:jc w:val="center"/>
        <w:textAlignment w:val="auto"/>
        <w:rPr>
          <w:rFonts w:hint="eastAsia"/>
          <w:color w:val="000000"/>
          <w:lang w:val="en-US" w:eastAsia="zh-CN"/>
        </w:rPr>
      </w:pPr>
    </w:p>
    <w:p>
      <w:pPr>
        <w:widowControl w:val="0"/>
        <w:wordWrap/>
        <w:adjustRightInd/>
        <w:snapToGrid/>
        <w:spacing w:line="500" w:lineRule="exact"/>
        <w:ind w:right="0"/>
        <w:jc w:val="both"/>
        <w:textAlignment w:val="auto"/>
        <w:rPr>
          <w:rFonts w:hint="eastAsia" w:ascii="黑体" w:hAnsi="黑体" w:eastAsia="黑体" w:cs="黑体"/>
          <w:color w:val="000000"/>
          <w:sz w:val="32"/>
          <w:szCs w:val="32"/>
          <w:lang w:val="en-US" w:eastAsia="zh-CN"/>
        </w:rPr>
      </w:pPr>
    </w:p>
    <w:p>
      <w:pPr>
        <w:widowControl w:val="0"/>
        <w:wordWrap/>
        <w:adjustRightInd/>
        <w:snapToGrid/>
        <w:spacing w:line="500" w:lineRule="exact"/>
        <w:ind w:right="0"/>
        <w:jc w:val="both"/>
        <w:textAlignment w:val="auto"/>
        <w:rPr>
          <w:rFonts w:hint="eastAsia" w:ascii="黑体" w:hAnsi="黑体" w:eastAsia="黑体" w:cs="黑体"/>
          <w:color w:val="000000"/>
          <w:sz w:val="32"/>
          <w:szCs w:val="32"/>
          <w:lang w:val="en-US" w:eastAsia="zh-CN"/>
        </w:rPr>
      </w:pPr>
    </w:p>
    <w:p>
      <w:pPr>
        <w:widowControl w:val="0"/>
        <w:wordWrap/>
        <w:adjustRightInd/>
        <w:snapToGrid/>
        <w:spacing w:line="500" w:lineRule="exact"/>
        <w:ind w:right="0"/>
        <w:jc w:val="both"/>
        <w:textAlignment w:val="auto"/>
        <w:rPr>
          <w:rFonts w:hint="eastAsia" w:ascii="黑体" w:hAnsi="黑体" w:eastAsia="黑体" w:cs="黑体"/>
          <w:color w:val="000000"/>
          <w:sz w:val="32"/>
          <w:szCs w:val="32"/>
          <w:lang w:val="en-US" w:eastAsia="zh-CN"/>
        </w:rPr>
      </w:pPr>
    </w:p>
    <w:p>
      <w:pPr>
        <w:widowControl w:val="0"/>
        <w:wordWrap/>
        <w:adjustRightInd/>
        <w:snapToGrid/>
        <w:spacing w:line="500" w:lineRule="exact"/>
        <w:ind w:right="0"/>
        <w:jc w:val="both"/>
        <w:textAlignment w:val="auto"/>
        <w:rPr>
          <w:rFonts w:hint="eastAsia" w:ascii="黑体" w:hAnsi="黑体" w:eastAsia="黑体" w:cs="黑体"/>
          <w:color w:val="000000"/>
          <w:sz w:val="32"/>
          <w:szCs w:val="32"/>
          <w:lang w:val="en-US" w:eastAsia="zh-CN"/>
        </w:rPr>
      </w:pPr>
    </w:p>
    <w:p>
      <w:pPr>
        <w:widowControl w:val="0"/>
        <w:wordWrap/>
        <w:adjustRightInd/>
        <w:snapToGrid/>
        <w:spacing w:line="500" w:lineRule="exact"/>
        <w:ind w:right="0"/>
        <w:jc w:val="both"/>
        <w:textAlignment w:val="auto"/>
        <w:rPr>
          <w:rFonts w:hint="eastAsia" w:ascii="黑体" w:hAnsi="黑体" w:eastAsia="黑体" w:cs="黑体"/>
          <w:color w:val="000000"/>
          <w:sz w:val="32"/>
          <w:szCs w:val="32"/>
          <w:lang w:val="en-US" w:eastAsia="zh-CN"/>
        </w:rPr>
      </w:pPr>
    </w:p>
    <w:p>
      <w:pPr>
        <w:widowControl w:val="0"/>
        <w:wordWrap/>
        <w:adjustRightInd/>
        <w:snapToGrid/>
        <w:spacing w:line="500" w:lineRule="exact"/>
        <w:ind w:right="0"/>
        <w:jc w:val="both"/>
        <w:textAlignment w:val="auto"/>
        <w:rPr>
          <w:rFonts w:hint="eastAsia" w:ascii="黑体" w:hAnsi="黑体" w:eastAsia="黑体" w:cs="黑体"/>
          <w:color w:val="000000"/>
          <w:sz w:val="32"/>
          <w:szCs w:val="32"/>
          <w:lang w:val="en-US" w:eastAsia="zh-CN"/>
        </w:rPr>
      </w:pPr>
    </w:p>
    <w:p>
      <w:pPr>
        <w:widowControl w:val="0"/>
        <w:wordWrap/>
        <w:adjustRightInd/>
        <w:snapToGrid/>
        <w:spacing w:line="500" w:lineRule="exact"/>
        <w:ind w:right="0"/>
        <w:jc w:val="both"/>
        <w:textAlignment w:val="auto"/>
        <w:rPr>
          <w:rFonts w:hint="eastAsia" w:ascii="黑体" w:hAnsi="黑体" w:eastAsia="黑体" w:cs="黑体"/>
          <w:color w:val="000000"/>
          <w:sz w:val="32"/>
          <w:szCs w:val="32"/>
          <w:lang w:val="en-US" w:eastAsia="zh-CN"/>
        </w:rPr>
      </w:pPr>
    </w:p>
    <w:p>
      <w:pPr>
        <w:widowControl w:val="0"/>
        <w:wordWrap/>
        <w:adjustRightInd/>
        <w:snapToGrid/>
        <w:spacing w:line="500" w:lineRule="exact"/>
        <w:ind w:right="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widowControl w:val="0"/>
        <w:wordWrap/>
        <w:adjustRightInd/>
        <w:snapToGrid/>
        <w:spacing w:line="500" w:lineRule="exact"/>
        <w:ind w:right="0"/>
        <w:jc w:val="center"/>
        <w:textAlignment w:val="auto"/>
        <w:rPr>
          <w:rFonts w:hint="eastAsia" w:ascii="方正小标宋_GBK" w:hAnsi="方正小标宋_GBK" w:eastAsia="方正小标宋_GBK" w:cs="方正小标宋_GBK"/>
          <w:color w:val="000000"/>
          <w:sz w:val="40"/>
          <w:szCs w:val="40"/>
          <w:lang w:val="en-US" w:eastAsia="zh-CN"/>
        </w:rPr>
      </w:pPr>
      <w:r>
        <w:rPr>
          <w:rFonts w:hint="eastAsia" w:ascii="方正小标宋_GBK" w:hAnsi="方正小标宋_GBK" w:eastAsia="方正小标宋_GBK" w:cs="方正小标宋_GBK"/>
          <w:color w:val="000000"/>
          <w:sz w:val="40"/>
          <w:szCs w:val="40"/>
          <w:lang w:val="en-US" w:eastAsia="zh-CN"/>
        </w:rPr>
        <w:t>贺兰县2020年农村生活污水治理建设工程项目</w:t>
      </w:r>
    </w:p>
    <w:tbl>
      <w:tblPr>
        <w:tblStyle w:val="8"/>
        <w:tblW w:w="12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660"/>
        <w:gridCol w:w="2145"/>
        <w:gridCol w:w="1185"/>
        <w:gridCol w:w="6240"/>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38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县（区）</w:t>
            </w:r>
          </w:p>
        </w:tc>
        <w:tc>
          <w:tcPr>
            <w:tcW w:w="66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序号</w:t>
            </w:r>
          </w:p>
        </w:tc>
        <w:tc>
          <w:tcPr>
            <w:tcW w:w="214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项目名称</w:t>
            </w:r>
          </w:p>
        </w:tc>
        <w:tc>
          <w:tcPr>
            <w:tcW w:w="118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项目类型</w:t>
            </w:r>
          </w:p>
        </w:tc>
        <w:tc>
          <w:tcPr>
            <w:tcW w:w="624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建设内容</w:t>
            </w:r>
          </w:p>
        </w:tc>
        <w:tc>
          <w:tcPr>
            <w:tcW w:w="1099"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380" w:type="dxa"/>
            <w:vMerge w:val="restart"/>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贺兰县</w:t>
            </w:r>
          </w:p>
        </w:tc>
        <w:tc>
          <w:tcPr>
            <w:tcW w:w="66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w:t>
            </w:r>
          </w:p>
        </w:tc>
        <w:tc>
          <w:tcPr>
            <w:tcW w:w="214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金贵镇通昌村污水管网建设工程</w:t>
            </w:r>
          </w:p>
        </w:tc>
        <w:tc>
          <w:tcPr>
            <w:tcW w:w="118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管网工程</w:t>
            </w:r>
          </w:p>
        </w:tc>
        <w:tc>
          <w:tcPr>
            <w:tcW w:w="624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敷设D300HDPE排水管线1.8km，D200HDPE排水管线143m，检查井106座，泵站2座</w:t>
            </w:r>
          </w:p>
        </w:tc>
        <w:tc>
          <w:tcPr>
            <w:tcW w:w="1099"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380" w:type="dxa"/>
            <w:vMerge w:val="continue"/>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c>
          <w:tcPr>
            <w:tcW w:w="66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w:t>
            </w:r>
          </w:p>
        </w:tc>
        <w:tc>
          <w:tcPr>
            <w:tcW w:w="214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金贵镇银河村污水管网建设工程</w:t>
            </w:r>
          </w:p>
        </w:tc>
        <w:tc>
          <w:tcPr>
            <w:tcW w:w="118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管网工程</w:t>
            </w:r>
          </w:p>
        </w:tc>
        <w:tc>
          <w:tcPr>
            <w:tcW w:w="624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敷设D300HDPE排水管线951m，D200HDPE排水管线813m，检查井96座，50m</w:t>
            </w:r>
            <w:r>
              <w:rPr>
                <w:rFonts w:hint="eastAsia" w:ascii="仿宋_GB2312" w:hAnsi="仿宋_GB2312" w:eastAsia="仿宋_GB2312" w:cs="仿宋_GB2312"/>
                <w:color w:val="000000"/>
                <w:kern w:val="0"/>
                <w:sz w:val="21"/>
                <w:szCs w:val="21"/>
                <w:vertAlign w:val="superscript"/>
              </w:rPr>
              <w:t>3</w:t>
            </w:r>
            <w:r>
              <w:rPr>
                <w:rFonts w:hint="eastAsia" w:ascii="仿宋_GB2312" w:hAnsi="仿宋_GB2312" w:eastAsia="仿宋_GB2312" w:cs="仿宋_GB2312"/>
                <w:color w:val="000000"/>
                <w:kern w:val="0"/>
                <w:sz w:val="21"/>
                <w:szCs w:val="21"/>
              </w:rPr>
              <w:t>化粪池2座</w:t>
            </w:r>
          </w:p>
        </w:tc>
        <w:tc>
          <w:tcPr>
            <w:tcW w:w="1099"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380" w:type="dxa"/>
            <w:vMerge w:val="continue"/>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c>
          <w:tcPr>
            <w:tcW w:w="66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w:t>
            </w:r>
          </w:p>
        </w:tc>
        <w:tc>
          <w:tcPr>
            <w:tcW w:w="214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习岗镇桃林小康村污水管网建设工程</w:t>
            </w:r>
          </w:p>
        </w:tc>
        <w:tc>
          <w:tcPr>
            <w:tcW w:w="118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管网工程</w:t>
            </w:r>
          </w:p>
        </w:tc>
        <w:tc>
          <w:tcPr>
            <w:tcW w:w="624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敷设D300HDPE排水管线298m，D200HDPE排水管线411m，检查井40座</w:t>
            </w:r>
          </w:p>
        </w:tc>
        <w:tc>
          <w:tcPr>
            <w:tcW w:w="1099"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380" w:type="dxa"/>
            <w:vMerge w:val="continue"/>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c>
          <w:tcPr>
            <w:tcW w:w="66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w:t>
            </w:r>
          </w:p>
        </w:tc>
        <w:tc>
          <w:tcPr>
            <w:tcW w:w="214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立岗镇永兴村污水管网建设工程</w:t>
            </w:r>
          </w:p>
        </w:tc>
        <w:tc>
          <w:tcPr>
            <w:tcW w:w="118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管网工程</w:t>
            </w:r>
          </w:p>
        </w:tc>
        <w:tc>
          <w:tcPr>
            <w:tcW w:w="624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敷设D300HDPE排水管线50m，建设检查井5座， 50m</w:t>
            </w:r>
            <w:r>
              <w:rPr>
                <w:rFonts w:hint="eastAsia" w:ascii="仿宋_GB2312" w:hAnsi="仿宋_GB2312" w:eastAsia="仿宋_GB2312" w:cs="仿宋_GB2312"/>
                <w:color w:val="000000"/>
                <w:kern w:val="0"/>
                <w:sz w:val="21"/>
                <w:szCs w:val="21"/>
                <w:vertAlign w:val="superscript"/>
              </w:rPr>
              <w:t>3</w:t>
            </w:r>
            <w:r>
              <w:rPr>
                <w:rFonts w:hint="eastAsia" w:ascii="仿宋_GB2312" w:hAnsi="仿宋_GB2312" w:eastAsia="仿宋_GB2312" w:cs="仿宋_GB2312"/>
                <w:color w:val="000000"/>
                <w:kern w:val="0"/>
                <w:sz w:val="21"/>
                <w:szCs w:val="21"/>
              </w:rPr>
              <w:t>化粪池1座，疏通管网1.2km</w:t>
            </w:r>
          </w:p>
        </w:tc>
        <w:tc>
          <w:tcPr>
            <w:tcW w:w="1099"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380" w:type="dxa"/>
            <w:vMerge w:val="continue"/>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c>
          <w:tcPr>
            <w:tcW w:w="66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w:t>
            </w:r>
          </w:p>
        </w:tc>
        <w:tc>
          <w:tcPr>
            <w:tcW w:w="214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立岗镇民乐村污水管网建设工程</w:t>
            </w:r>
          </w:p>
        </w:tc>
        <w:tc>
          <w:tcPr>
            <w:tcW w:w="118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管网工程</w:t>
            </w:r>
          </w:p>
        </w:tc>
        <w:tc>
          <w:tcPr>
            <w:tcW w:w="624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敷设D300HDPE排水管线50m，建设检查井5座， 50m</w:t>
            </w:r>
            <w:r>
              <w:rPr>
                <w:rFonts w:hint="eastAsia" w:ascii="仿宋_GB2312" w:hAnsi="仿宋_GB2312" w:eastAsia="仿宋_GB2312" w:cs="仿宋_GB2312"/>
                <w:color w:val="000000"/>
                <w:kern w:val="0"/>
                <w:sz w:val="21"/>
                <w:szCs w:val="21"/>
                <w:vertAlign w:val="superscript"/>
              </w:rPr>
              <w:t>3</w:t>
            </w:r>
            <w:r>
              <w:rPr>
                <w:rFonts w:hint="eastAsia" w:ascii="仿宋_GB2312" w:hAnsi="仿宋_GB2312" w:eastAsia="仿宋_GB2312" w:cs="仿宋_GB2312"/>
                <w:color w:val="000000"/>
                <w:kern w:val="0"/>
                <w:sz w:val="21"/>
                <w:szCs w:val="21"/>
              </w:rPr>
              <w:t>化粪池1座</w:t>
            </w:r>
          </w:p>
        </w:tc>
        <w:tc>
          <w:tcPr>
            <w:tcW w:w="1099"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380" w:type="dxa"/>
            <w:vMerge w:val="continue"/>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c>
          <w:tcPr>
            <w:tcW w:w="66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w:t>
            </w:r>
          </w:p>
        </w:tc>
        <w:tc>
          <w:tcPr>
            <w:tcW w:w="214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lang w:val="en-US" w:eastAsia="zh-CN"/>
              </w:rPr>
              <w:t>立岗镇兰星村污水管网建设工程</w:t>
            </w:r>
          </w:p>
        </w:tc>
        <w:tc>
          <w:tcPr>
            <w:tcW w:w="118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lang w:eastAsia="zh-CN"/>
              </w:rPr>
              <w:t>管网工程</w:t>
            </w:r>
          </w:p>
        </w:tc>
        <w:tc>
          <w:tcPr>
            <w:tcW w:w="624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敷设D300HDPE排水管线</w:t>
            </w:r>
            <w:r>
              <w:rPr>
                <w:rFonts w:hint="eastAsia" w:ascii="仿宋_GB2312" w:hAnsi="仿宋_GB2312" w:eastAsia="仿宋_GB2312" w:cs="仿宋_GB2312"/>
                <w:color w:val="000000"/>
                <w:kern w:val="0"/>
                <w:sz w:val="21"/>
                <w:szCs w:val="21"/>
                <w:lang w:val="en-US" w:eastAsia="zh-CN"/>
              </w:rPr>
              <w:t>2158</w:t>
            </w:r>
            <w:r>
              <w:rPr>
                <w:rFonts w:hint="eastAsia" w:ascii="仿宋_GB2312" w:hAnsi="仿宋_GB2312" w:eastAsia="仿宋_GB2312" w:cs="仿宋_GB2312"/>
                <w:color w:val="000000"/>
                <w:kern w:val="0"/>
                <w:sz w:val="21"/>
                <w:szCs w:val="21"/>
              </w:rPr>
              <w:t>m，D200HDPE排水管线</w:t>
            </w:r>
            <w:r>
              <w:rPr>
                <w:rFonts w:hint="eastAsia" w:ascii="仿宋_GB2312" w:hAnsi="仿宋_GB2312" w:eastAsia="仿宋_GB2312" w:cs="仿宋_GB2312"/>
                <w:color w:val="000000"/>
                <w:kern w:val="0"/>
                <w:sz w:val="21"/>
                <w:szCs w:val="21"/>
                <w:lang w:val="en-US" w:eastAsia="zh-CN"/>
              </w:rPr>
              <w:t>944</w:t>
            </w:r>
            <w:r>
              <w:rPr>
                <w:rFonts w:hint="eastAsia" w:ascii="仿宋_GB2312" w:hAnsi="仿宋_GB2312" w:eastAsia="仿宋_GB2312" w:cs="仿宋_GB2312"/>
                <w:color w:val="000000"/>
                <w:kern w:val="0"/>
                <w:sz w:val="21"/>
                <w:szCs w:val="21"/>
              </w:rPr>
              <w:t>m，检查井1</w:t>
            </w:r>
            <w:r>
              <w:rPr>
                <w:rFonts w:hint="eastAsia" w:ascii="仿宋_GB2312" w:hAnsi="仿宋_GB2312" w:eastAsia="仿宋_GB2312" w:cs="仿宋_GB2312"/>
                <w:color w:val="000000"/>
                <w:kern w:val="0"/>
                <w:sz w:val="21"/>
                <w:szCs w:val="21"/>
                <w:lang w:val="en-US" w:eastAsia="zh-CN"/>
              </w:rPr>
              <w:t>28</w:t>
            </w:r>
            <w:r>
              <w:rPr>
                <w:rFonts w:hint="eastAsia" w:ascii="仿宋_GB2312" w:hAnsi="仿宋_GB2312" w:eastAsia="仿宋_GB2312" w:cs="仿宋_GB2312"/>
                <w:color w:val="000000"/>
                <w:kern w:val="0"/>
                <w:sz w:val="21"/>
                <w:szCs w:val="21"/>
              </w:rPr>
              <w:t>座，泵站2座</w:t>
            </w:r>
          </w:p>
        </w:tc>
        <w:tc>
          <w:tcPr>
            <w:tcW w:w="1099"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380" w:type="dxa"/>
            <w:vMerge w:val="continue"/>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c>
          <w:tcPr>
            <w:tcW w:w="66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7</w:t>
            </w:r>
          </w:p>
        </w:tc>
        <w:tc>
          <w:tcPr>
            <w:tcW w:w="214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南梁台子委员会污水处理站项目</w:t>
            </w:r>
          </w:p>
        </w:tc>
        <w:tc>
          <w:tcPr>
            <w:tcW w:w="1185"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新建设施</w:t>
            </w:r>
          </w:p>
        </w:tc>
        <w:tc>
          <w:tcPr>
            <w:tcW w:w="6240"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rPr>
              <w:t>建设日处理能力600m</w:t>
            </w:r>
            <w:r>
              <w:rPr>
                <w:rFonts w:hint="eastAsia" w:ascii="仿宋_GB2312" w:hAnsi="仿宋_GB2312" w:eastAsia="仿宋_GB2312" w:cs="仿宋_GB2312"/>
                <w:color w:val="000000"/>
                <w:kern w:val="0"/>
                <w:sz w:val="21"/>
                <w:szCs w:val="21"/>
                <w:vertAlign w:val="superscript"/>
              </w:rPr>
              <w:t>3</w:t>
            </w:r>
            <w:r>
              <w:rPr>
                <w:rFonts w:hint="eastAsia" w:ascii="仿宋_GB2312" w:hAnsi="仿宋_GB2312" w:eastAsia="仿宋_GB2312" w:cs="仿宋_GB2312"/>
                <w:color w:val="000000"/>
                <w:kern w:val="0"/>
                <w:sz w:val="21"/>
                <w:szCs w:val="21"/>
              </w:rPr>
              <w:t>/d处理终端1座，出水达到《城镇污水处理厂污染物排放标准》一级A要求</w:t>
            </w:r>
          </w:p>
        </w:tc>
        <w:tc>
          <w:tcPr>
            <w:tcW w:w="1099" w:type="dxa"/>
            <w:vAlign w:val="center"/>
          </w:tcPr>
          <w:p>
            <w:pPr>
              <w:widowControl w:val="0"/>
              <w:wordWrap/>
              <w:adjustRightInd/>
              <w:snapToGrid/>
              <w:spacing w:line="360" w:lineRule="exact"/>
              <w:ind w:right="0"/>
              <w:jc w:val="center"/>
              <w:textAlignment w:val="auto"/>
              <w:rPr>
                <w:rFonts w:hint="eastAsia" w:ascii="仿宋_GB2312" w:hAnsi="仿宋_GB2312" w:eastAsia="仿宋_GB2312" w:cs="仿宋_GB2312"/>
                <w:color w:val="000000"/>
                <w:sz w:val="21"/>
                <w:szCs w:val="21"/>
                <w:lang w:val="en-US" w:eastAsia="zh-CN"/>
              </w:rPr>
            </w:pPr>
          </w:p>
        </w:tc>
      </w:tr>
    </w:tbl>
    <w:p>
      <w:pPr>
        <w:widowControl w:val="0"/>
        <w:wordWrap/>
        <w:ind w:right="0"/>
        <w:textAlignment w:val="auto"/>
        <w:rPr>
          <w:rFonts w:hint="default"/>
          <w:color w:val="000000"/>
          <w:lang w:val="en-US" w:eastAsia="zh-CN"/>
        </w:rPr>
      </w:pPr>
    </w:p>
    <w:p>
      <w:pPr>
        <w:pStyle w:val="2"/>
        <w:rPr>
          <w:rFonts w:hint="default"/>
          <w:color w:val="000000"/>
          <w:lang w:val="en-US" w:eastAsia="zh-CN"/>
        </w:rPr>
      </w:pPr>
    </w:p>
    <w:p>
      <w:pPr>
        <w:pStyle w:val="2"/>
        <w:rPr>
          <w:rFonts w:hint="default"/>
          <w:color w:val="000000"/>
          <w:lang w:val="en-US" w:eastAsia="zh-CN"/>
        </w:rPr>
        <w:sectPr>
          <w:footerReference r:id="rId4" w:type="default"/>
          <w:pgSz w:w="16838" w:h="11906" w:orient="landscape"/>
          <w:pgMar w:top="1800" w:right="1440" w:bottom="1800" w:left="1440" w:header="851" w:footer="992" w:gutter="0"/>
          <w:pgNumType w:fmt="numberInDash"/>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- 1 -</w:t>
                          </w:r>
                          <w:r>
                            <w:rPr>
                              <w:rFonts w:hint="eastAsia" w:ascii="仿宋_GB2312" w:hAnsi="仿宋_GB2312" w:eastAsia="仿宋_GB2312" w:cs="仿宋_GB2312"/>
                              <w:sz w:val="28"/>
                              <w:szCs w:val="28"/>
                              <w:lang w:eastAsia="zh-CN"/>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Dpaao+pAEAAD4DAAAOAAAAAAAA&#10;AAEAIAAAAB8BAABkcnMvZTJvRG9jLnhtbFBLBQYAAAAABgAGAFkBAAA1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- 1 -</w:t>
                    </w:r>
                    <w:r>
                      <w:rPr>
                        <w:rFonts w:hint="eastAsia" w:ascii="仿宋_GB2312" w:hAnsi="仿宋_GB2312" w:eastAsia="仿宋_GB2312" w:cs="仿宋_GB2312"/>
                        <w:sz w:val="28"/>
                        <w:szCs w:val="28"/>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rPr>
                              <w:rFonts w:hint="eastAsia"/>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- 56 -</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Bw1aHepAEAAD4DAAAOAAAAAAAA&#10;AAEAIAAAAB8BAABkcnMvZTJvRG9jLnhtbFBLBQYAAAAABgAGAFkBAAA1BQAAAAA=&#10;">
              <v:fill on="f" focussize="0,0"/>
              <v:stroke on="f"/>
              <v:imagedata o:title=""/>
              <o:lock v:ext="edit" aspectratio="f"/>
              <v:textbox inset="0mm,0mm,0mm,0mm" style="mso-fit-shape-to-text:t;">
                <w:txbxContent>
                  <w:p>
                    <w:pPr>
                      <w:pStyle w:val="5"/>
                      <w:rPr>
                        <w:rFonts w:hint="eastAsia"/>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- 56 -</w:t>
                    </w:r>
                    <w:r>
                      <w:rPr>
                        <w:rFonts w:hint="eastAsia" w:ascii="仿宋_GB2312" w:hAnsi="仿宋_GB2312" w:eastAsia="仿宋_GB2312" w:cs="仿宋_GB2312"/>
                        <w:sz w:val="28"/>
                        <w:szCs w:val="2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68D7F"/>
    <w:multiLevelType w:val="singleLevel"/>
    <w:tmpl w:val="5E868D7F"/>
    <w:lvl w:ilvl="0" w:tentative="0">
      <w:start w:val="1"/>
      <w:numFmt w:val="chineseCounting"/>
      <w:suff w:val="nothing"/>
      <w:lvlText w:val="%1、"/>
      <w:lvlJc w:val="left"/>
    </w:lvl>
  </w:abstractNum>
  <w:abstractNum w:abstractNumId="1">
    <w:nsid w:val="5E86DB33"/>
    <w:multiLevelType w:val="singleLevel"/>
    <w:tmpl w:val="5E86DB33"/>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52559C"/>
    <w:rsid w:val="16525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sz w:val="28"/>
    </w:rPr>
  </w:style>
  <w:style w:type="paragraph" w:styleId="3">
    <w:name w:val="Body Text Indent"/>
    <w:basedOn w:val="1"/>
    <w:qFormat/>
    <w:uiPriority w:val="0"/>
    <w:pPr>
      <w:ind w:left="420"/>
    </w:pPr>
    <w:rPr>
      <w:rFonts w:ascii="仿宋_GB2312" w:eastAsia="仿宋_GB2312"/>
      <w:sz w:val="32"/>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Body Text First Indent 2"/>
    <w:basedOn w:val="3"/>
    <w:next w:val="4"/>
    <w:qFormat/>
    <w:uiPriority w:val="0"/>
    <w:pPr>
      <w:spacing w:after="120"/>
      <w:ind w:leftChars="0" w:firstLine="420" w:firstLineChars="200"/>
    </w:pPr>
    <w:rPr>
      <w:rFonts w:ascii="Times New Roman" w:hAnsi="Times New Roma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2020-08-13T02:11:00Z</dcterms:created>
  <dc:creator>土豆</dc:creator>
  <cp:lastModifiedBy>土豆</cp:lastModifiedBy>
  <dcterms:modified xsi:type="dcterms:W3CDTF">2020-08-13T02:20:07Z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